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09" w:rsidRPr="00391665" w:rsidRDefault="001A1609" w:rsidP="001A1609">
      <w:pPr>
        <w:ind w:left="-709" w:right="-852"/>
        <w:jc w:val="center"/>
        <w:rPr>
          <w:b/>
          <w:bCs/>
          <w:sz w:val="40"/>
          <w:szCs w:val="40"/>
        </w:rPr>
      </w:pPr>
      <w:r w:rsidRPr="00B62DD5">
        <w:rPr>
          <w:b/>
          <w:bCs/>
          <w:sz w:val="40"/>
          <w:szCs w:val="40"/>
        </w:rPr>
        <w:t xml:space="preserve">ALGUNOS DATOS SOBRE ACCIDENTES DE TRABAJO </w:t>
      </w:r>
      <w:r w:rsidR="00313C08">
        <w:rPr>
          <w:b/>
          <w:bCs/>
          <w:sz w:val="40"/>
          <w:szCs w:val="40"/>
        </w:rPr>
        <w:t xml:space="preserve">EN </w:t>
      </w:r>
      <w:r w:rsidR="00C24DFC">
        <w:rPr>
          <w:b/>
          <w:bCs/>
          <w:sz w:val="40"/>
          <w:szCs w:val="40"/>
        </w:rPr>
        <w:t>GALICIA</w:t>
      </w:r>
      <w:r w:rsidR="00313C08">
        <w:rPr>
          <w:b/>
          <w:bCs/>
          <w:sz w:val="40"/>
          <w:szCs w:val="40"/>
        </w:rPr>
        <w:t xml:space="preserve"> Y EL ESTADO ESPAÑOL</w:t>
      </w:r>
    </w:p>
    <w:p w:rsidR="001A1609" w:rsidRPr="00391665" w:rsidRDefault="0011778F" w:rsidP="001A1609">
      <w:pPr>
        <w:ind w:left="-709" w:right="-852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301B53">
        <w:rPr>
          <w:sz w:val="24"/>
          <w:szCs w:val="24"/>
        </w:rPr>
        <w:t xml:space="preserve"> de </w:t>
      </w:r>
      <w:r w:rsidR="00C24DFC">
        <w:rPr>
          <w:sz w:val="24"/>
          <w:szCs w:val="24"/>
        </w:rPr>
        <w:t>septiembre</w:t>
      </w:r>
      <w:r w:rsidR="00C94D2C">
        <w:rPr>
          <w:sz w:val="24"/>
          <w:szCs w:val="24"/>
        </w:rPr>
        <w:t xml:space="preserve"> de 2025</w:t>
      </w:r>
    </w:p>
    <w:p w:rsidR="001A1609" w:rsidRPr="00391665" w:rsidRDefault="001A1609" w:rsidP="001A1609">
      <w:pPr>
        <w:keepNext/>
      </w:pPr>
    </w:p>
    <w:p w:rsidR="001C6955" w:rsidRPr="005915F9" w:rsidRDefault="00407D1E" w:rsidP="00F859A0">
      <w:pPr>
        <w:pStyle w:val="Prrafodelista"/>
        <w:keepNext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5F9">
        <w:rPr>
          <w:b/>
          <w:bCs/>
          <w:sz w:val="24"/>
          <w:szCs w:val="24"/>
        </w:rPr>
        <w:t>Según los últimos datos</w:t>
      </w:r>
      <w:r w:rsidR="00F859A0" w:rsidRPr="005915F9">
        <w:rPr>
          <w:b/>
          <w:bCs/>
          <w:sz w:val="24"/>
          <w:szCs w:val="24"/>
        </w:rPr>
        <w:t>,</w:t>
      </w:r>
      <w:r w:rsidRPr="005915F9">
        <w:rPr>
          <w:b/>
          <w:bCs/>
          <w:sz w:val="24"/>
          <w:szCs w:val="24"/>
        </w:rPr>
        <w:t xml:space="preserve"> en </w:t>
      </w:r>
      <w:r w:rsidR="005915F9" w:rsidRPr="005915F9">
        <w:rPr>
          <w:b/>
          <w:bCs/>
          <w:sz w:val="24"/>
          <w:szCs w:val="24"/>
        </w:rPr>
        <w:t>Galicia</w:t>
      </w:r>
      <w:r w:rsidR="00F859A0" w:rsidRPr="005915F9">
        <w:rPr>
          <w:b/>
          <w:bCs/>
          <w:sz w:val="24"/>
          <w:szCs w:val="24"/>
        </w:rPr>
        <w:t xml:space="preserve"> </w:t>
      </w:r>
      <w:r w:rsidR="005915F9" w:rsidRPr="005915F9">
        <w:rPr>
          <w:b/>
          <w:bCs/>
          <w:sz w:val="24"/>
          <w:szCs w:val="24"/>
        </w:rPr>
        <w:t>entre enero y julio de 2025</w:t>
      </w:r>
      <w:r w:rsidR="001C6955" w:rsidRPr="005915F9">
        <w:rPr>
          <w:b/>
          <w:bCs/>
          <w:sz w:val="24"/>
          <w:szCs w:val="24"/>
        </w:rPr>
        <w:t xml:space="preserve"> se produjeron</w:t>
      </w:r>
      <w:r w:rsidR="001A1609" w:rsidRPr="005915F9">
        <w:rPr>
          <w:b/>
          <w:bCs/>
          <w:sz w:val="24"/>
          <w:szCs w:val="24"/>
        </w:rPr>
        <w:t xml:space="preserve"> </w:t>
      </w:r>
      <w:r w:rsidR="005915F9" w:rsidRPr="005915F9">
        <w:rPr>
          <w:b/>
          <w:bCs/>
          <w:sz w:val="24"/>
          <w:szCs w:val="24"/>
        </w:rPr>
        <w:t>1.635</w:t>
      </w:r>
      <w:r w:rsidR="00F859A0" w:rsidRPr="005915F9">
        <w:rPr>
          <w:b/>
          <w:bCs/>
          <w:sz w:val="24"/>
          <w:szCs w:val="24"/>
        </w:rPr>
        <w:t xml:space="preserve"> accidentes laborales, de los cuales </w:t>
      </w:r>
      <w:r w:rsidR="005915F9" w:rsidRPr="005915F9">
        <w:rPr>
          <w:b/>
          <w:bCs/>
          <w:sz w:val="24"/>
          <w:szCs w:val="24"/>
        </w:rPr>
        <w:t>3</w:t>
      </w:r>
      <w:r w:rsidR="00F859A0" w:rsidRPr="005915F9">
        <w:rPr>
          <w:b/>
          <w:bCs/>
          <w:sz w:val="24"/>
          <w:szCs w:val="24"/>
        </w:rPr>
        <w:t>8 fueron mortales.</w:t>
      </w:r>
    </w:p>
    <w:p w:rsidR="001A1609" w:rsidRPr="005915F9" w:rsidRDefault="00600C7E" w:rsidP="001C6955">
      <w:pPr>
        <w:pStyle w:val="Prrafodelista"/>
        <w:keepNext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5F9">
        <w:rPr>
          <w:b/>
          <w:bCs/>
          <w:sz w:val="24"/>
          <w:szCs w:val="24"/>
        </w:rPr>
        <w:t>En</w:t>
      </w:r>
      <w:r w:rsidR="00F859A0" w:rsidRPr="005915F9">
        <w:rPr>
          <w:b/>
          <w:bCs/>
          <w:sz w:val="24"/>
          <w:szCs w:val="24"/>
        </w:rPr>
        <w:t xml:space="preserve"> </w:t>
      </w:r>
      <w:r w:rsidR="005915F9" w:rsidRPr="005915F9">
        <w:rPr>
          <w:b/>
          <w:bCs/>
          <w:sz w:val="24"/>
          <w:szCs w:val="24"/>
        </w:rPr>
        <w:t>Galicia se producen de media más de 3 accidentes laborales mortales cada mes</w:t>
      </w:r>
      <w:r w:rsidR="00F859A0" w:rsidRPr="005915F9">
        <w:rPr>
          <w:b/>
          <w:bCs/>
          <w:sz w:val="24"/>
          <w:szCs w:val="24"/>
        </w:rPr>
        <w:t>.</w:t>
      </w:r>
    </w:p>
    <w:p w:rsidR="001A1609" w:rsidRPr="005915F9" w:rsidRDefault="00F859A0" w:rsidP="001A1609">
      <w:pPr>
        <w:pStyle w:val="Prrafodelista"/>
        <w:keepNext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5F9">
        <w:rPr>
          <w:b/>
          <w:bCs/>
          <w:sz w:val="24"/>
          <w:szCs w:val="24"/>
        </w:rPr>
        <w:t xml:space="preserve">Las provincias con mayor índice de incidencia de accidentes laborales son </w:t>
      </w:r>
      <w:r w:rsidR="005915F9" w:rsidRPr="005915F9">
        <w:rPr>
          <w:b/>
          <w:bCs/>
          <w:sz w:val="24"/>
          <w:szCs w:val="24"/>
        </w:rPr>
        <w:t>Ourense y A Coruña</w:t>
      </w:r>
      <w:r w:rsidR="00407D1E" w:rsidRPr="005915F9">
        <w:rPr>
          <w:b/>
          <w:bCs/>
          <w:sz w:val="24"/>
          <w:szCs w:val="24"/>
        </w:rPr>
        <w:t>.</w:t>
      </w:r>
    </w:p>
    <w:p w:rsidR="00600C7E" w:rsidRPr="005915F9" w:rsidRDefault="00600C7E" w:rsidP="001A1609">
      <w:pPr>
        <w:pStyle w:val="Prrafodelista"/>
        <w:keepNext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5F9">
        <w:rPr>
          <w:b/>
          <w:bCs/>
          <w:sz w:val="24"/>
          <w:szCs w:val="24"/>
        </w:rPr>
        <w:t>En los últimos 30 años, en el Estado español se produjeron más de 30.000 muertes por accidentes laborales,</w:t>
      </w:r>
      <w:r w:rsidR="005915F9" w:rsidRPr="005915F9">
        <w:rPr>
          <w:b/>
          <w:bCs/>
          <w:sz w:val="24"/>
          <w:szCs w:val="24"/>
        </w:rPr>
        <w:t xml:space="preserve"> y en </w:t>
      </w:r>
      <w:r w:rsidR="00291B4E">
        <w:rPr>
          <w:b/>
          <w:bCs/>
          <w:sz w:val="24"/>
          <w:szCs w:val="24"/>
        </w:rPr>
        <w:t>Galicia</w:t>
      </w:r>
      <w:r w:rsidR="005915F9" w:rsidRPr="005915F9">
        <w:rPr>
          <w:b/>
          <w:bCs/>
          <w:sz w:val="24"/>
          <w:szCs w:val="24"/>
        </w:rPr>
        <w:t>, más de 2.9</w:t>
      </w:r>
      <w:r w:rsidRPr="005915F9">
        <w:rPr>
          <w:b/>
          <w:bCs/>
          <w:sz w:val="24"/>
          <w:szCs w:val="24"/>
        </w:rPr>
        <w:t>00.</w:t>
      </w:r>
    </w:p>
    <w:p w:rsidR="00F859A0" w:rsidRPr="005915F9" w:rsidRDefault="00F859A0" w:rsidP="001A1609">
      <w:pPr>
        <w:pStyle w:val="Prrafodelista"/>
        <w:keepNext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5F9">
        <w:rPr>
          <w:b/>
          <w:bCs/>
          <w:sz w:val="24"/>
          <w:szCs w:val="24"/>
        </w:rPr>
        <w:t xml:space="preserve">En 2024, en el Estado español se produjeron </w:t>
      </w:r>
      <w:r w:rsidR="005915F9" w:rsidRPr="005915F9">
        <w:rPr>
          <w:b/>
          <w:bCs/>
          <w:sz w:val="24"/>
          <w:szCs w:val="24"/>
        </w:rPr>
        <w:t>830</w:t>
      </w:r>
      <w:r w:rsidRPr="005915F9">
        <w:rPr>
          <w:b/>
          <w:bCs/>
          <w:sz w:val="24"/>
          <w:szCs w:val="24"/>
        </w:rPr>
        <w:t xml:space="preserve"> muertes en accidentes laborales,</w:t>
      </w:r>
      <w:r w:rsidR="005915F9">
        <w:rPr>
          <w:b/>
          <w:bCs/>
          <w:sz w:val="24"/>
          <w:szCs w:val="24"/>
        </w:rPr>
        <w:t xml:space="preserve"> un 10% más que el año anterior, y en lo que llevamos de año, 431.</w:t>
      </w:r>
    </w:p>
    <w:p w:rsidR="001C6955" w:rsidRPr="001C6955" w:rsidRDefault="001C6955" w:rsidP="001C6955">
      <w:pPr>
        <w:pStyle w:val="Prrafodelista"/>
        <w:keepNext/>
        <w:jc w:val="both"/>
        <w:rPr>
          <w:sz w:val="24"/>
          <w:szCs w:val="24"/>
          <w:highlight w:val="yellow"/>
        </w:rPr>
      </w:pPr>
    </w:p>
    <w:p w:rsidR="001A1609" w:rsidRDefault="001A1609" w:rsidP="001A1609">
      <w:pPr>
        <w:keepNext/>
        <w:rPr>
          <w:rFonts w:asciiTheme="majorHAnsi" w:hAnsiTheme="majorHAnsi" w:cstheme="majorHAnsi"/>
          <w:sz w:val="28"/>
          <w:szCs w:val="28"/>
        </w:rPr>
      </w:pPr>
      <w:r w:rsidRPr="003F6675">
        <w:rPr>
          <w:rFonts w:asciiTheme="majorHAnsi" w:hAnsiTheme="majorHAnsi" w:cstheme="majorHAnsi"/>
          <w:sz w:val="28"/>
          <w:szCs w:val="28"/>
        </w:rPr>
        <w:t>0. Introducción</w:t>
      </w:r>
    </w:p>
    <w:p w:rsidR="001A1609" w:rsidRDefault="001A1609" w:rsidP="001A1609">
      <w:pPr>
        <w:keepNext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este documento se presenta una selección de datos ilustrativos de la dinámica de la siniestralidad laboral en </w:t>
      </w:r>
      <w:r w:rsidR="00C24DFC">
        <w:rPr>
          <w:rFonts w:cstheme="minorHAnsi"/>
          <w:sz w:val="24"/>
          <w:szCs w:val="24"/>
        </w:rPr>
        <w:t>Galicia</w:t>
      </w:r>
      <w:r w:rsidR="00843AE6">
        <w:rPr>
          <w:rFonts w:cstheme="minorHAnsi"/>
          <w:sz w:val="24"/>
          <w:szCs w:val="24"/>
        </w:rPr>
        <w:t>, así como del</w:t>
      </w:r>
      <w:r>
        <w:rPr>
          <w:rFonts w:cstheme="minorHAnsi"/>
          <w:sz w:val="24"/>
          <w:szCs w:val="24"/>
        </w:rPr>
        <w:t xml:space="preserve"> Estado español</w:t>
      </w:r>
      <w:r w:rsidR="00843AE6">
        <w:rPr>
          <w:rFonts w:cstheme="minorHAnsi"/>
          <w:sz w:val="24"/>
          <w:szCs w:val="24"/>
        </w:rPr>
        <w:t xml:space="preserve"> en su conjunto</w:t>
      </w:r>
      <w:r>
        <w:rPr>
          <w:rFonts w:cstheme="minorHAnsi"/>
          <w:sz w:val="24"/>
          <w:szCs w:val="24"/>
        </w:rPr>
        <w:t>. Para ello se han utilizado principalmente los datos que proporciona en sus estadísticas el Ministerio de Trabajo y E</w:t>
      </w:r>
      <w:r w:rsidR="00B732E7">
        <w:rPr>
          <w:rFonts w:cstheme="minorHAnsi"/>
          <w:sz w:val="24"/>
          <w:szCs w:val="24"/>
        </w:rPr>
        <w:t>conomía Social. T</w:t>
      </w:r>
      <w:r>
        <w:rPr>
          <w:rFonts w:cstheme="minorHAnsi"/>
          <w:sz w:val="24"/>
          <w:szCs w:val="24"/>
        </w:rPr>
        <w:t>odos los datos corresponden al total de ocupados, es decir, trabajadores asalariados y por cuenta propia.</w:t>
      </w:r>
      <w:r w:rsidR="00C94D2C">
        <w:rPr>
          <w:rFonts w:cstheme="minorHAnsi"/>
          <w:sz w:val="24"/>
          <w:szCs w:val="24"/>
        </w:rPr>
        <w:t xml:space="preserve"> El periodo</w:t>
      </w:r>
      <w:r w:rsidR="00843AE6">
        <w:rPr>
          <w:rFonts w:cstheme="minorHAnsi"/>
          <w:sz w:val="24"/>
          <w:szCs w:val="24"/>
        </w:rPr>
        <w:t xml:space="preserve"> básico de referencia </w:t>
      </w:r>
      <w:r w:rsidR="009730E3">
        <w:rPr>
          <w:rFonts w:cstheme="minorHAnsi"/>
          <w:sz w:val="24"/>
          <w:szCs w:val="24"/>
        </w:rPr>
        <w:t xml:space="preserve">es </w:t>
      </w:r>
      <w:r w:rsidR="004121F8">
        <w:rPr>
          <w:rFonts w:cstheme="minorHAnsi"/>
          <w:sz w:val="24"/>
          <w:szCs w:val="24"/>
        </w:rPr>
        <w:t>el periodo entre enero y julio</w:t>
      </w:r>
      <w:r w:rsidR="00697494">
        <w:rPr>
          <w:rFonts w:cstheme="minorHAnsi"/>
          <w:sz w:val="24"/>
          <w:szCs w:val="24"/>
        </w:rPr>
        <w:t xml:space="preserve"> de cada año</w:t>
      </w:r>
      <w:r w:rsidR="009730E3">
        <w:rPr>
          <w:rFonts w:cstheme="minorHAnsi"/>
          <w:sz w:val="24"/>
          <w:szCs w:val="24"/>
        </w:rPr>
        <w:t>, aunque los datos corresponden al avance provisional y no a los resultados definitivos (que serán más elevados</w:t>
      </w:r>
      <w:r w:rsidR="00697494">
        <w:rPr>
          <w:rFonts w:cstheme="minorHAnsi"/>
          <w:sz w:val="24"/>
          <w:szCs w:val="24"/>
        </w:rPr>
        <w:t xml:space="preserve">). </w:t>
      </w:r>
    </w:p>
    <w:p w:rsidR="001A1609" w:rsidRPr="003F6675" w:rsidRDefault="001A1609" w:rsidP="001A1609">
      <w:pPr>
        <w:keepNext/>
        <w:jc w:val="both"/>
        <w:rPr>
          <w:rFonts w:cstheme="minorHAnsi"/>
          <w:sz w:val="24"/>
          <w:szCs w:val="24"/>
        </w:rPr>
      </w:pPr>
    </w:p>
    <w:p w:rsidR="001A1609" w:rsidRDefault="001A1609" w:rsidP="001A1609">
      <w:pPr>
        <w:keepNext/>
        <w:rPr>
          <w:rFonts w:asciiTheme="majorHAnsi" w:hAnsiTheme="majorHAnsi" w:cstheme="majorHAnsi"/>
          <w:sz w:val="28"/>
          <w:szCs w:val="28"/>
        </w:rPr>
      </w:pPr>
      <w:r w:rsidRPr="00925DE2">
        <w:rPr>
          <w:rFonts w:asciiTheme="majorHAnsi" w:hAnsiTheme="majorHAnsi" w:cstheme="majorHAnsi"/>
          <w:sz w:val="28"/>
          <w:szCs w:val="28"/>
        </w:rPr>
        <w:t>1. Siniestralidad laboral en el Estado español</w:t>
      </w:r>
    </w:p>
    <w:p w:rsidR="00843AE6" w:rsidRDefault="00843AE6" w:rsidP="00843AE6">
      <w:pPr>
        <w:keepNext/>
        <w:jc w:val="both"/>
      </w:pPr>
      <w:r w:rsidRPr="003F6675">
        <w:rPr>
          <w:sz w:val="24"/>
          <w:szCs w:val="24"/>
        </w:rPr>
        <w:t>Si observamos la incidencia de los accidentes lab</w:t>
      </w:r>
      <w:r w:rsidR="00862B5A">
        <w:rPr>
          <w:sz w:val="24"/>
          <w:szCs w:val="24"/>
        </w:rPr>
        <w:t>orales con baja en los últimos 8</w:t>
      </w:r>
      <w:r w:rsidRPr="003F6675">
        <w:rPr>
          <w:sz w:val="24"/>
          <w:szCs w:val="24"/>
        </w:rPr>
        <w:t xml:space="preserve"> años, se aprecia, sobre todo</w:t>
      </w:r>
      <w:r>
        <w:rPr>
          <w:sz w:val="24"/>
          <w:szCs w:val="24"/>
        </w:rPr>
        <w:t>, la caída del núme</w:t>
      </w:r>
      <w:r w:rsidR="00C94D2C">
        <w:rPr>
          <w:sz w:val="24"/>
          <w:szCs w:val="24"/>
        </w:rPr>
        <w:t>ro de accidentes en 2020, debido</w:t>
      </w:r>
      <w:r>
        <w:rPr>
          <w:sz w:val="24"/>
          <w:szCs w:val="24"/>
        </w:rPr>
        <w:t xml:space="preserve"> a la ralentización económica como efecto de la pandemia. En los años posteriores, el número de accidentes </w:t>
      </w:r>
      <w:r w:rsidRPr="00310D9C">
        <w:rPr>
          <w:sz w:val="24"/>
          <w:szCs w:val="24"/>
        </w:rPr>
        <w:t>volvió a incrementarse, hasta superar en 2022 las cifras de accidentes en jornada laboral previ</w:t>
      </w:r>
      <w:r w:rsidR="00C94D2C">
        <w:rPr>
          <w:sz w:val="24"/>
          <w:szCs w:val="24"/>
        </w:rPr>
        <w:t>as a la pandemia. E</w:t>
      </w:r>
      <w:r w:rsidRPr="00310D9C">
        <w:rPr>
          <w:sz w:val="24"/>
          <w:szCs w:val="24"/>
        </w:rPr>
        <w:t>n 2023</w:t>
      </w:r>
      <w:r>
        <w:rPr>
          <w:sz w:val="24"/>
          <w:szCs w:val="24"/>
        </w:rPr>
        <w:t xml:space="preserve">, y pese al aumento del número de afiliados a la Seguridad Social, se produjo </w:t>
      </w:r>
      <w:r w:rsidRPr="00310D9C">
        <w:rPr>
          <w:sz w:val="24"/>
          <w:szCs w:val="24"/>
        </w:rPr>
        <w:t xml:space="preserve">un descenso </w:t>
      </w:r>
      <w:r>
        <w:rPr>
          <w:sz w:val="24"/>
          <w:szCs w:val="24"/>
        </w:rPr>
        <w:t xml:space="preserve">mínimo de los accidentes de trabajo, </w:t>
      </w:r>
      <w:r w:rsidR="00C94D2C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aunque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en términos generales la tendencia ha seguido estable. </w:t>
      </w:r>
      <w:r w:rsid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En 2024 se mantiene una cifra de accidentes similar, a pesar de seguir aumentando el número de trabajadores y trabajadoras. La cifra de 2025 no es comparable con los años anteriores, pero si se compara con el mismo periodo de 2024, </w:t>
      </w:r>
      <w:r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las cifras </w:t>
      </w:r>
      <w:r w:rsidR="00DE7ECA"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de accidentes totales </w:t>
      </w:r>
      <w:r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son </w:t>
      </w:r>
      <w:r w:rsidR="00862B5A"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lastRenderedPageBreak/>
        <w:t>ligeramente inferiores, con una disminución</w:t>
      </w:r>
      <w:r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="00862B5A"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del 2</w:t>
      </w:r>
      <w:r w:rsidR="00DE7ECA"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,</w:t>
      </w:r>
      <w:r w:rsidR="00862B5A"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0</w:t>
      </w:r>
      <w:r w:rsidR="0011778F"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5</w:t>
      </w:r>
      <w:r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% </w:t>
      </w:r>
      <w:r w:rsidR="002D3176"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respecto </w:t>
      </w:r>
      <w:r w:rsidR="00EA38CC"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al año anterior</w:t>
      </w:r>
      <w:r w:rsidR="00DE7ECA" w:rsidRP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,</w:t>
      </w:r>
      <w:r w:rsid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a pesar del aumento de la ocupación.</w:t>
      </w:r>
    </w:p>
    <w:p w:rsidR="00843AE6" w:rsidRDefault="00862B5A">
      <w:pPr>
        <w:rPr>
          <w:b/>
        </w:rPr>
      </w:pPr>
      <w:r>
        <w:rPr>
          <w:noProof/>
          <w:lang w:eastAsia="es-ES"/>
          <w14:ligatures w14:val="none"/>
        </w:rPr>
        <w:drawing>
          <wp:inline distT="0" distB="0" distL="0" distR="0" wp14:anchorId="61806620" wp14:editId="71055154">
            <wp:extent cx="5400040" cy="3063240"/>
            <wp:effectExtent l="0" t="0" r="10160" b="381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3AE6" w:rsidRDefault="00843AE6" w:rsidP="002D3176">
      <w:pPr>
        <w:jc w:val="both"/>
        <w:rPr>
          <w:i/>
          <w:color w:val="767171" w:themeColor="background2" w:themeShade="80"/>
          <w:sz w:val="18"/>
        </w:rPr>
      </w:pPr>
      <w:r w:rsidRPr="00897972">
        <w:rPr>
          <w:i/>
          <w:color w:val="767171" w:themeColor="background2" w:themeShade="80"/>
          <w:sz w:val="18"/>
        </w:rPr>
        <w:t>Figura 1. Fuente: Estadísticas de Accidentes de Trabajo del Minister</w:t>
      </w:r>
      <w:r w:rsidR="00862B5A">
        <w:rPr>
          <w:i/>
          <w:color w:val="767171" w:themeColor="background2" w:themeShade="80"/>
          <w:sz w:val="18"/>
        </w:rPr>
        <w:t>io de Trabajo y Economía Social</w:t>
      </w:r>
      <w:r w:rsidRPr="00897972">
        <w:rPr>
          <w:i/>
          <w:color w:val="767171" w:themeColor="background2" w:themeShade="80"/>
          <w:sz w:val="18"/>
        </w:rPr>
        <w:t>. El dato corresponde tanto a asalariados como a trabajadores por cuenta propia.</w:t>
      </w:r>
    </w:p>
    <w:p w:rsidR="00843AE6" w:rsidRDefault="00862B5A">
      <w:pPr>
        <w:rPr>
          <w:b/>
        </w:rPr>
      </w:pPr>
      <w:r>
        <w:rPr>
          <w:noProof/>
          <w:lang w:eastAsia="es-ES"/>
          <w14:ligatures w14:val="none"/>
        </w:rPr>
        <w:drawing>
          <wp:inline distT="0" distB="0" distL="0" distR="0" wp14:anchorId="406988EA" wp14:editId="569236D5">
            <wp:extent cx="5400040" cy="3169920"/>
            <wp:effectExtent l="0" t="0" r="10160" b="1143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3176" w:rsidRDefault="002D3176" w:rsidP="002D3176">
      <w:pPr>
        <w:pStyle w:val="Descripcin"/>
        <w:jc w:val="both"/>
      </w:pPr>
      <w:r>
        <w:t xml:space="preserve">Figura 2. </w:t>
      </w:r>
      <w:r w:rsidRPr="00897972">
        <w:rPr>
          <w:color w:val="767171" w:themeColor="background2" w:themeShade="80"/>
        </w:rPr>
        <w:t>Fuente: Estadísticas de Accidentes de Trabajo del Ministerio de Trabajo y Economía Social. El dato corresponde tanto a asalariados como a trabajadores por cuenta propia.</w:t>
      </w:r>
    </w:p>
    <w:p w:rsidR="00862B5A" w:rsidRDefault="005F1C6C" w:rsidP="005F1C6C">
      <w:pPr>
        <w:jc w:val="both"/>
        <w:rPr>
          <w:sz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Respecto a los accidentes de trabajo mortales, comp</w:t>
      </w:r>
      <w:r w:rsidR="00862B5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arando también los datos de los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últimos años, se aprecia que, excepto en 2022, la cifra se ha mantenido relativamente estable a pesar del crecimiento de la ocupación. </w:t>
      </w:r>
      <w:r w:rsidR="002503CC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Sin embargo, </w:t>
      </w:r>
      <w:r w:rsidR="002503CC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e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n 2024, se han </w:t>
      </w:r>
      <w:r w:rsidR="00862B5A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alcanzado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 las </w:t>
      </w:r>
      <w:r w:rsidR="00862B5A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830</w:t>
      </w:r>
      <w:r w:rsidR="0011778F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muertes por </w:t>
      </w:r>
      <w:r w:rsidR="003F3B3A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accidente </w:t>
      </w:r>
      <w:r w:rsidR="003F3B3A" w:rsidRPr="008929EB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laboral, un </w:t>
      </w:r>
      <w:r w:rsidR="008929EB" w:rsidRPr="008929EB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8.9</w:t>
      </w:r>
      <w:r w:rsidRPr="008929EB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%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 más que el mismo periodo del año pasado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. </w:t>
      </w:r>
      <w:r w:rsidRPr="005F1C6C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Estos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857106">
        <w:rPr>
          <w:b/>
          <w:sz w:val="24"/>
        </w:rPr>
        <w:t xml:space="preserve">accidentes de trabajo mortales, exponente más sangrante de la </w:t>
      </w:r>
      <w:r w:rsidRPr="00857106">
        <w:rPr>
          <w:b/>
          <w:sz w:val="24"/>
        </w:rPr>
        <w:lastRenderedPageBreak/>
        <w:t xml:space="preserve">siniestralidad laboral, </w:t>
      </w:r>
      <w:r>
        <w:rPr>
          <w:b/>
          <w:sz w:val="24"/>
        </w:rPr>
        <w:t xml:space="preserve">resultan muy graves, y tienen responsables directos. </w:t>
      </w:r>
      <w:r>
        <w:rPr>
          <w:sz w:val="24"/>
        </w:rPr>
        <w:t xml:space="preserve">De </w:t>
      </w:r>
      <w:r w:rsidRPr="00EA38CC">
        <w:rPr>
          <w:sz w:val="24"/>
        </w:rPr>
        <w:t xml:space="preserve">media </w:t>
      </w:r>
      <w:r w:rsidR="0011778F">
        <w:rPr>
          <w:sz w:val="24"/>
        </w:rPr>
        <w:t xml:space="preserve">en </w:t>
      </w:r>
      <w:r w:rsidRPr="00EA38CC">
        <w:rPr>
          <w:sz w:val="24"/>
        </w:rPr>
        <w:t xml:space="preserve">2024, se han </w:t>
      </w:r>
      <w:r w:rsidR="008B6F4E">
        <w:rPr>
          <w:sz w:val="24"/>
        </w:rPr>
        <w:t xml:space="preserve">sobrepasado las 2 muertes al día, </w:t>
      </w:r>
      <w:r w:rsidR="00EA38CC" w:rsidRPr="00EA38CC">
        <w:rPr>
          <w:sz w:val="24"/>
        </w:rPr>
        <w:t xml:space="preserve">alcanzando las </w:t>
      </w:r>
      <w:r w:rsidR="006E4F88">
        <w:rPr>
          <w:sz w:val="24"/>
        </w:rPr>
        <w:t>69</w:t>
      </w:r>
      <w:r w:rsidR="008B6F4E">
        <w:rPr>
          <w:sz w:val="24"/>
        </w:rPr>
        <w:t xml:space="preserve"> muertes</w:t>
      </w:r>
      <w:r w:rsidRPr="00EA38CC">
        <w:rPr>
          <w:sz w:val="24"/>
        </w:rPr>
        <w:t xml:space="preserve"> en accidentes </w:t>
      </w:r>
      <w:r w:rsidR="0053226A" w:rsidRPr="00EA38CC">
        <w:rPr>
          <w:sz w:val="24"/>
        </w:rPr>
        <w:t xml:space="preserve">laborales </w:t>
      </w:r>
      <w:r w:rsidR="008B6F4E">
        <w:rPr>
          <w:sz w:val="24"/>
        </w:rPr>
        <w:t>al mes</w:t>
      </w:r>
      <w:r w:rsidRPr="00EA38CC">
        <w:rPr>
          <w:sz w:val="24"/>
        </w:rPr>
        <w:t>.</w:t>
      </w:r>
      <w:r w:rsidR="00862B5A">
        <w:rPr>
          <w:sz w:val="24"/>
        </w:rPr>
        <w:t xml:space="preserve"> Los datos de 2025, de nuevo, no son comparables en esta serie, pero hasta julio de 2025 se habían producido más de 400 muertes.</w:t>
      </w:r>
    </w:p>
    <w:p w:rsidR="002B77EA" w:rsidRDefault="002B77EA" w:rsidP="005F1C6C">
      <w:pPr>
        <w:jc w:val="both"/>
        <w:rPr>
          <w:sz w:val="24"/>
        </w:rPr>
      </w:pPr>
      <w:r>
        <w:rPr>
          <w:sz w:val="24"/>
        </w:rPr>
        <w:t>Si atendemos exclusivamente a la comparación del periodo enero-julio de 2025, observamos una disminución general que también se refleja en los índices de incidencia mensuales:</w:t>
      </w:r>
    </w:p>
    <w:tbl>
      <w:tblPr>
        <w:tblW w:w="5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1850"/>
        <w:gridCol w:w="1850"/>
        <w:gridCol w:w="1068"/>
      </w:tblGrid>
      <w:tr w:rsidR="002B77EA" w:rsidRPr="002B77EA" w:rsidTr="002B77EA">
        <w:trPr>
          <w:trHeight w:val="288"/>
          <w:jc w:val="center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s-ES"/>
                <w14:ligatures w14:val="none"/>
              </w:rPr>
              <w:t>Accidentes laborales totales en el Estado español 2024-2025</w:t>
            </w:r>
          </w:p>
        </w:tc>
      </w:tr>
      <w:tr w:rsidR="002B77EA" w:rsidRPr="002B77EA" w:rsidTr="002B77EA">
        <w:trPr>
          <w:trHeight w:val="288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Enero-julio 2024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Enero-julio 2025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Variación</w:t>
            </w:r>
          </w:p>
        </w:tc>
      </w:tr>
      <w:tr w:rsidR="002B77EA" w:rsidRPr="002B77EA" w:rsidTr="002B77EA">
        <w:trPr>
          <w:trHeight w:val="288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  <w:t>Leves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360.904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353.560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-2,03%</w:t>
            </w:r>
          </w:p>
        </w:tc>
      </w:tr>
      <w:tr w:rsidR="002B77EA" w:rsidRPr="002B77EA" w:rsidTr="002B77EA">
        <w:trPr>
          <w:trHeight w:val="288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  <w:t>Graves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2.805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2.677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-4,56%</w:t>
            </w:r>
          </w:p>
        </w:tc>
      </w:tr>
      <w:tr w:rsidR="002B77EA" w:rsidRPr="002B77EA" w:rsidTr="002B77EA">
        <w:trPr>
          <w:trHeight w:val="288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  <w:t>Mortales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435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431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-0,92%</w:t>
            </w:r>
          </w:p>
        </w:tc>
      </w:tr>
      <w:tr w:rsidR="002B77EA" w:rsidRPr="002B77EA" w:rsidTr="002B77EA">
        <w:trPr>
          <w:trHeight w:val="288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  <w:t>Totales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364.144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356.668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-2,05%</w:t>
            </w:r>
          </w:p>
        </w:tc>
      </w:tr>
    </w:tbl>
    <w:p w:rsidR="002B77EA" w:rsidRDefault="002B77EA" w:rsidP="005F1C6C">
      <w:pPr>
        <w:jc w:val="both"/>
        <w:rPr>
          <w:sz w:val="24"/>
        </w:rPr>
      </w:pPr>
    </w:p>
    <w:tbl>
      <w:tblPr>
        <w:tblW w:w="5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50"/>
        <w:gridCol w:w="1850"/>
        <w:gridCol w:w="1068"/>
      </w:tblGrid>
      <w:tr w:rsidR="002B77EA" w:rsidRPr="002B77EA" w:rsidTr="002B77EA">
        <w:trPr>
          <w:trHeight w:val="288"/>
          <w:jc w:val="center"/>
        </w:trPr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s-ES"/>
                <w14:ligatures w14:val="none"/>
              </w:rPr>
              <w:t>Índices de incidencia mensuales de accidentes laborales</w:t>
            </w:r>
            <w:r w:rsidRPr="002B77E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en el Estado español 2024-2025</w:t>
            </w:r>
          </w:p>
        </w:tc>
      </w:tr>
      <w:tr w:rsidR="002B77EA" w:rsidRPr="002B77EA" w:rsidTr="002B77EA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Enero-julio 2024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Enero-julio 2025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Variación</w:t>
            </w:r>
          </w:p>
        </w:tc>
      </w:tr>
      <w:tr w:rsidR="002B77EA" w:rsidRPr="002B77EA" w:rsidTr="002B77EA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  <w:t>Accidentes totales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221,0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211,1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4.5</w:t>
            </w: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%</w:t>
            </w:r>
          </w:p>
        </w:tc>
      </w:tr>
      <w:tr w:rsidR="002B77EA" w:rsidRPr="002B77EA" w:rsidTr="002B77EA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es-ES"/>
                <w14:ligatures w14:val="none"/>
              </w:rPr>
              <w:t>Accidentes mortales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0,249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162BF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0,242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EA" w:rsidRPr="002B77EA" w:rsidRDefault="002B77EA" w:rsidP="002B77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2.5</w:t>
            </w:r>
            <w:r w:rsidRPr="002B77EA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%</w:t>
            </w:r>
          </w:p>
        </w:tc>
      </w:tr>
    </w:tbl>
    <w:p w:rsidR="002B77EA" w:rsidRDefault="002B77EA" w:rsidP="005F1C6C">
      <w:pPr>
        <w:jc w:val="both"/>
        <w:rPr>
          <w:sz w:val="24"/>
        </w:rPr>
      </w:pPr>
    </w:p>
    <w:p w:rsidR="002B77EA" w:rsidRDefault="002B77EA" w:rsidP="002B77EA">
      <w:pPr>
        <w:pStyle w:val="Descripcin"/>
        <w:jc w:val="both"/>
      </w:pPr>
      <w:r>
        <w:t xml:space="preserve">Figura 3. </w:t>
      </w:r>
      <w:r w:rsidRPr="00897972">
        <w:rPr>
          <w:color w:val="767171" w:themeColor="background2" w:themeShade="80"/>
        </w:rPr>
        <w:t>Fuente: Estadísticas de Accidentes de Trabajo del Ministerio de Trabajo y Economía Social. El dato corresponde tanto a asalariados como a trabajadores por cuenta propia.</w:t>
      </w:r>
    </w:p>
    <w:p w:rsidR="002B77EA" w:rsidRDefault="002B77EA" w:rsidP="005F1C6C">
      <w:pPr>
        <w:jc w:val="both"/>
        <w:rPr>
          <w:sz w:val="24"/>
        </w:rPr>
      </w:pPr>
    </w:p>
    <w:p w:rsidR="00C029F3" w:rsidRPr="00EA38CC" w:rsidRDefault="006E4F88" w:rsidP="00EA38CC">
      <w:pPr>
        <w:rPr>
          <w:b/>
        </w:rPr>
      </w:pPr>
      <w:r>
        <w:rPr>
          <w:noProof/>
          <w:lang w:eastAsia="es-ES"/>
          <w14:ligatures w14:val="none"/>
        </w:rPr>
        <w:lastRenderedPageBreak/>
        <w:drawing>
          <wp:inline distT="0" distB="0" distL="0" distR="0" wp14:anchorId="0E362728" wp14:editId="272BD62C">
            <wp:extent cx="5400040" cy="4555490"/>
            <wp:effectExtent l="0" t="0" r="10160" b="165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29F3" w:rsidRPr="006F3772" w:rsidRDefault="002B77EA" w:rsidP="00C029F3">
      <w:pPr>
        <w:pStyle w:val="Descripcin"/>
        <w:rPr>
          <w:i w:val="0"/>
          <w:iCs w:val="0"/>
        </w:rPr>
      </w:pPr>
      <w:r>
        <w:t>Figura 4</w:t>
      </w:r>
      <w:r w:rsidR="00C029F3">
        <w:t xml:space="preserve">. Fuente: Estadísticas de Accidentes de Trabajo del Ministerio de Trabajo y Economía Social. Datos </w:t>
      </w:r>
      <w:r w:rsidR="0011778F">
        <w:t xml:space="preserve">provisionales </w:t>
      </w:r>
      <w:r w:rsidR="00C029F3">
        <w:t xml:space="preserve">correspondientes </w:t>
      </w:r>
      <w:r w:rsidR="0011778F">
        <w:t>a</w:t>
      </w:r>
      <w:r w:rsidR="006E4F88">
        <w:t>l periodo enero-julio 2025</w:t>
      </w:r>
      <w:r w:rsidR="00C029F3">
        <w:t>.</w:t>
      </w:r>
    </w:p>
    <w:p w:rsidR="00B848B2" w:rsidRDefault="00B848B2" w:rsidP="00B848B2">
      <w:pPr>
        <w:jc w:val="both"/>
        <w:rPr>
          <w:sz w:val="24"/>
          <w:szCs w:val="24"/>
        </w:rPr>
      </w:pPr>
      <w:r w:rsidRPr="004F0A4F">
        <w:rPr>
          <w:sz w:val="24"/>
          <w:szCs w:val="24"/>
        </w:rPr>
        <w:t>Respecto a las causas de los accidentes laborales, la primera</w:t>
      </w:r>
      <w:r w:rsidR="00BF0B55">
        <w:rPr>
          <w:sz w:val="24"/>
          <w:szCs w:val="24"/>
        </w:rPr>
        <w:t xml:space="preserve"> son</w:t>
      </w:r>
      <w:r w:rsidRPr="004F0A4F">
        <w:rPr>
          <w:sz w:val="24"/>
          <w:szCs w:val="24"/>
        </w:rPr>
        <w:t xml:space="preserve"> los golpes o colisiones de trabajadores en movimiento contra objetos inmóviles </w:t>
      </w:r>
      <w:r w:rsidR="0056121B">
        <w:rPr>
          <w:sz w:val="24"/>
          <w:szCs w:val="24"/>
        </w:rPr>
        <w:t>(28</w:t>
      </w:r>
      <w:r>
        <w:rPr>
          <w:sz w:val="24"/>
          <w:szCs w:val="24"/>
        </w:rPr>
        <w:t>%), seguidas de</w:t>
      </w:r>
      <w:r w:rsidRPr="004F0A4F">
        <w:rPr>
          <w:sz w:val="24"/>
          <w:szCs w:val="24"/>
        </w:rPr>
        <w:t>l sobreesfuerzo físico (</w:t>
      </w:r>
      <w:r w:rsidR="0056121B">
        <w:rPr>
          <w:sz w:val="24"/>
          <w:szCs w:val="24"/>
        </w:rPr>
        <w:t>24</w:t>
      </w:r>
      <w:r>
        <w:rPr>
          <w:sz w:val="24"/>
          <w:szCs w:val="24"/>
        </w:rPr>
        <w:t xml:space="preserve">%). Las siguientes causas más frecuentes son los golpes provocados por objetos en movimiento contra trabajadores inmóviles (16%), </w:t>
      </w:r>
      <w:r w:rsidR="0011778F">
        <w:rPr>
          <w:sz w:val="24"/>
          <w:szCs w:val="24"/>
        </w:rPr>
        <w:t xml:space="preserve">los accidentes de tráfico (12%), y </w:t>
      </w:r>
      <w:r>
        <w:rPr>
          <w:sz w:val="24"/>
          <w:szCs w:val="24"/>
        </w:rPr>
        <w:t>el contacto con agent</w:t>
      </w:r>
      <w:r w:rsidR="0056121B">
        <w:rPr>
          <w:sz w:val="24"/>
          <w:szCs w:val="24"/>
        </w:rPr>
        <w:t>es cortantes o punzantes (10</w:t>
      </w:r>
      <w:r w:rsidR="0011778F">
        <w:rPr>
          <w:sz w:val="24"/>
          <w:szCs w:val="24"/>
        </w:rPr>
        <w:t>%)</w:t>
      </w:r>
      <w:r>
        <w:rPr>
          <w:sz w:val="24"/>
          <w:szCs w:val="24"/>
        </w:rPr>
        <w:t>.</w:t>
      </w:r>
    </w:p>
    <w:p w:rsidR="002D3176" w:rsidRDefault="002B77EA">
      <w:pPr>
        <w:rPr>
          <w:b/>
        </w:rPr>
      </w:pPr>
      <w:r>
        <w:rPr>
          <w:noProof/>
          <w:lang w:eastAsia="es-ES"/>
          <w14:ligatures w14:val="none"/>
        </w:rPr>
        <w:lastRenderedPageBreak/>
        <w:drawing>
          <wp:inline distT="0" distB="0" distL="0" distR="0" wp14:anchorId="7AB6B651" wp14:editId="5914612A">
            <wp:extent cx="5400040" cy="3870960"/>
            <wp:effectExtent l="0" t="0" r="10160" b="1524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7FD" w:rsidRPr="006A37FD" w:rsidRDefault="002B77EA" w:rsidP="0011778F">
      <w:pPr>
        <w:pStyle w:val="Descripcin"/>
        <w:rPr>
          <w:i w:val="0"/>
          <w:iCs w:val="0"/>
        </w:rPr>
      </w:pPr>
      <w:r>
        <w:t>Figura 5</w:t>
      </w:r>
      <w:r w:rsidR="006A37FD">
        <w:t xml:space="preserve">. España, variación de los índices de incidencia respecto al mismo </w:t>
      </w:r>
      <w:r>
        <w:t>periodo del año anterior</w:t>
      </w:r>
      <w:r w:rsidR="0011778F">
        <w:t>.</w:t>
      </w:r>
      <w:r w:rsidR="0011778F">
        <w:rPr>
          <w:i w:val="0"/>
          <w:iCs w:val="0"/>
        </w:rPr>
        <w:t xml:space="preserve"> </w:t>
      </w:r>
      <w:r w:rsidR="006A37FD">
        <w:t xml:space="preserve">Fuente: Estadísticas de Accidentes de Trabajo del Ministerio de Trabajo y Economía Social. </w:t>
      </w:r>
    </w:p>
    <w:p w:rsidR="00B732E7" w:rsidRPr="004F1B56" w:rsidRDefault="006A37FD" w:rsidP="004F1B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respecto a la diferente evolución por ramas, en </w:t>
      </w:r>
      <w:r w:rsidR="002B77EA">
        <w:rPr>
          <w:sz w:val="24"/>
          <w:szCs w:val="24"/>
        </w:rPr>
        <w:t>2025</w:t>
      </w:r>
      <w:r>
        <w:rPr>
          <w:sz w:val="24"/>
          <w:szCs w:val="24"/>
        </w:rPr>
        <w:t xml:space="preserve"> l</w:t>
      </w:r>
      <w:r w:rsidR="00466ADC">
        <w:rPr>
          <w:sz w:val="24"/>
          <w:szCs w:val="24"/>
        </w:rPr>
        <w:t>a incidencia anual de l</w:t>
      </w:r>
      <w:r>
        <w:rPr>
          <w:sz w:val="24"/>
          <w:szCs w:val="24"/>
        </w:rPr>
        <w:t xml:space="preserve">os accidentes laborales </w:t>
      </w:r>
      <w:r w:rsidR="00466ADC">
        <w:rPr>
          <w:sz w:val="24"/>
          <w:szCs w:val="24"/>
        </w:rPr>
        <w:t>ha</w:t>
      </w:r>
      <w:r w:rsidR="002B77EA">
        <w:rPr>
          <w:sz w:val="24"/>
          <w:szCs w:val="24"/>
        </w:rPr>
        <w:t xml:space="preserve"> disminuido en todas las ramas. </w:t>
      </w:r>
      <w:r>
        <w:rPr>
          <w:sz w:val="24"/>
          <w:szCs w:val="24"/>
        </w:rPr>
        <w:t xml:space="preserve">Las ramas que han experimentado una mayor disminución han sido </w:t>
      </w:r>
      <w:r w:rsidR="002B77EA">
        <w:rPr>
          <w:sz w:val="24"/>
          <w:szCs w:val="24"/>
        </w:rPr>
        <w:t xml:space="preserve">la hostelería (-8.4%), </w:t>
      </w:r>
      <w:r>
        <w:rPr>
          <w:sz w:val="24"/>
          <w:szCs w:val="24"/>
        </w:rPr>
        <w:t>l</w:t>
      </w:r>
      <w:r w:rsidR="002B77EA">
        <w:rPr>
          <w:sz w:val="24"/>
          <w:szCs w:val="24"/>
        </w:rPr>
        <w:t>as industrias extractivas (-7,7</w:t>
      </w:r>
      <w:r>
        <w:rPr>
          <w:sz w:val="24"/>
          <w:szCs w:val="24"/>
        </w:rPr>
        <w:t>%),</w:t>
      </w:r>
      <w:r w:rsidR="002B77EA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r w:rsidR="002B77EA">
        <w:rPr>
          <w:sz w:val="24"/>
          <w:szCs w:val="24"/>
        </w:rPr>
        <w:t>la administración pública (-7,1%).</w:t>
      </w:r>
      <w:r w:rsidR="00466ADC">
        <w:rPr>
          <w:sz w:val="24"/>
          <w:szCs w:val="24"/>
        </w:rPr>
        <w:t xml:space="preserve"> </w:t>
      </w:r>
    </w:p>
    <w:p w:rsidR="00B732E7" w:rsidRDefault="00B732E7">
      <w:pPr>
        <w:rPr>
          <w:b/>
        </w:rPr>
      </w:pPr>
    </w:p>
    <w:p w:rsidR="00B732E7" w:rsidRDefault="00B732E7" w:rsidP="00B732E7">
      <w:pPr>
        <w:rPr>
          <w:rFonts w:asciiTheme="majorHAnsi" w:hAnsiTheme="majorHAnsi" w:cstheme="majorHAnsi"/>
          <w:sz w:val="28"/>
          <w:szCs w:val="28"/>
        </w:rPr>
      </w:pPr>
      <w:r w:rsidRPr="00DE23B2">
        <w:rPr>
          <w:rFonts w:asciiTheme="majorHAnsi" w:hAnsiTheme="majorHAnsi" w:cstheme="majorHAnsi"/>
          <w:sz w:val="28"/>
          <w:szCs w:val="28"/>
        </w:rPr>
        <w:t xml:space="preserve">2. Siniestralidad laboral en </w:t>
      </w:r>
      <w:r w:rsidR="002B77EA">
        <w:rPr>
          <w:rFonts w:asciiTheme="majorHAnsi" w:hAnsiTheme="majorHAnsi" w:cstheme="majorHAnsi"/>
          <w:sz w:val="28"/>
          <w:szCs w:val="28"/>
        </w:rPr>
        <w:t>Galicia</w:t>
      </w:r>
    </w:p>
    <w:p w:rsidR="00B732E7" w:rsidRDefault="004F1B56" w:rsidP="002127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8"/>
        </w:rPr>
        <w:t>Pasamos ahora a analizar</w:t>
      </w:r>
      <w:r w:rsidR="00BF0B55">
        <w:rPr>
          <w:rFonts w:cstheme="minorHAnsi"/>
          <w:sz w:val="24"/>
          <w:szCs w:val="28"/>
        </w:rPr>
        <w:t xml:space="preserve"> la siniestralidad laboral en </w:t>
      </w:r>
      <w:r w:rsidR="002B77EA">
        <w:rPr>
          <w:rFonts w:cstheme="minorHAnsi"/>
          <w:sz w:val="24"/>
          <w:szCs w:val="28"/>
        </w:rPr>
        <w:t>Galicia</w:t>
      </w:r>
      <w:r>
        <w:rPr>
          <w:rFonts w:cstheme="minorHAnsi"/>
          <w:sz w:val="24"/>
          <w:szCs w:val="28"/>
        </w:rPr>
        <w:t xml:space="preserve">. </w:t>
      </w:r>
      <w:r>
        <w:rPr>
          <w:rFonts w:cstheme="minorHAnsi"/>
          <w:sz w:val="24"/>
          <w:szCs w:val="24"/>
        </w:rPr>
        <w:t xml:space="preserve">Al igual que en el análisis de los datos de siniestralidad en el Estado español, para la revisión de los datos en esta comunidad autónoma se </w:t>
      </w:r>
      <w:r w:rsidR="002B77EA">
        <w:rPr>
          <w:rFonts w:cstheme="minorHAnsi"/>
          <w:sz w:val="24"/>
          <w:szCs w:val="24"/>
        </w:rPr>
        <w:t>utiliza el periodo entre enero y julio de 2025.</w:t>
      </w:r>
      <w:r w:rsidR="00E2737E">
        <w:rPr>
          <w:rFonts w:cstheme="minorHAnsi"/>
          <w:sz w:val="24"/>
          <w:szCs w:val="24"/>
        </w:rPr>
        <w:t xml:space="preserve"> </w:t>
      </w:r>
    </w:p>
    <w:p w:rsidR="002127A2" w:rsidRDefault="002127A2" w:rsidP="002127A2">
      <w:pPr>
        <w:jc w:val="both"/>
        <w:rPr>
          <w:rFonts w:cstheme="minorHAnsi"/>
          <w:sz w:val="24"/>
          <w:szCs w:val="24"/>
        </w:rPr>
      </w:pPr>
    </w:p>
    <w:p w:rsidR="002127A2" w:rsidRDefault="002127A2" w:rsidP="002127A2">
      <w:pPr>
        <w:jc w:val="both"/>
        <w:rPr>
          <w:rFonts w:cstheme="minorHAnsi"/>
          <w:sz w:val="24"/>
          <w:szCs w:val="24"/>
        </w:rPr>
      </w:pPr>
    </w:p>
    <w:p w:rsidR="002127A2" w:rsidRDefault="002127A2" w:rsidP="002127A2">
      <w:pPr>
        <w:jc w:val="both"/>
        <w:rPr>
          <w:rFonts w:cstheme="minorHAnsi"/>
          <w:sz w:val="24"/>
          <w:szCs w:val="24"/>
        </w:rPr>
      </w:pPr>
    </w:p>
    <w:p w:rsidR="002127A2" w:rsidRDefault="002127A2" w:rsidP="002127A2">
      <w:pPr>
        <w:jc w:val="both"/>
        <w:rPr>
          <w:rFonts w:cstheme="minorHAnsi"/>
          <w:sz w:val="24"/>
          <w:szCs w:val="24"/>
        </w:rPr>
      </w:pPr>
    </w:p>
    <w:p w:rsidR="002127A2" w:rsidRDefault="002127A2" w:rsidP="002127A2">
      <w:pPr>
        <w:jc w:val="both"/>
        <w:rPr>
          <w:rFonts w:cstheme="minorHAnsi"/>
          <w:sz w:val="24"/>
          <w:szCs w:val="24"/>
        </w:rPr>
      </w:pPr>
    </w:p>
    <w:p w:rsidR="002127A2" w:rsidRDefault="002127A2" w:rsidP="002127A2">
      <w:pPr>
        <w:jc w:val="both"/>
        <w:rPr>
          <w:rFonts w:cstheme="minorHAnsi"/>
          <w:sz w:val="24"/>
          <w:szCs w:val="24"/>
        </w:rPr>
      </w:pPr>
    </w:p>
    <w:p w:rsidR="002127A2" w:rsidRPr="004F1B56" w:rsidRDefault="002127A2" w:rsidP="002127A2">
      <w:pPr>
        <w:jc w:val="both"/>
        <w:rPr>
          <w:rFonts w:cstheme="minorHAnsi"/>
          <w:sz w:val="24"/>
          <w:szCs w:val="24"/>
        </w:rPr>
      </w:pPr>
    </w:p>
    <w:p w:rsidR="004F1B56" w:rsidRPr="00E2737E" w:rsidRDefault="00E2737E" w:rsidP="00E2737E">
      <w:pPr>
        <w:jc w:val="center"/>
        <w:rPr>
          <w:rFonts w:cstheme="minorHAnsi"/>
          <w:sz w:val="24"/>
          <w:szCs w:val="24"/>
        </w:rPr>
      </w:pPr>
      <w:r w:rsidRPr="00BE65E4">
        <w:rPr>
          <w:rFonts w:cstheme="minorHAnsi"/>
          <w:color w:val="595959" w:themeColor="text1" w:themeTint="A6"/>
          <w:sz w:val="28"/>
        </w:rPr>
        <w:lastRenderedPageBreak/>
        <w:t>Siniestralidad laboral en</w:t>
      </w:r>
      <w:r w:rsidR="00D853AE">
        <w:rPr>
          <w:rFonts w:cstheme="minorHAnsi"/>
          <w:color w:val="595959" w:themeColor="text1" w:themeTint="A6"/>
          <w:sz w:val="28"/>
        </w:rPr>
        <w:t xml:space="preserve"> las provincias de</w:t>
      </w:r>
      <w:r w:rsidRPr="00BE65E4">
        <w:rPr>
          <w:rFonts w:cstheme="minorHAnsi"/>
          <w:color w:val="595959" w:themeColor="text1" w:themeTint="A6"/>
          <w:sz w:val="28"/>
        </w:rPr>
        <w:t xml:space="preserve"> </w:t>
      </w:r>
      <w:r w:rsidR="002127A2">
        <w:rPr>
          <w:rFonts w:cstheme="minorHAnsi"/>
          <w:color w:val="595959" w:themeColor="text1" w:themeTint="A6"/>
          <w:sz w:val="28"/>
        </w:rPr>
        <w:t>Galicia</w:t>
      </w: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210"/>
        <w:gridCol w:w="859"/>
        <w:gridCol w:w="859"/>
        <w:gridCol w:w="757"/>
        <w:gridCol w:w="981"/>
        <w:gridCol w:w="360"/>
        <w:gridCol w:w="865"/>
        <w:gridCol w:w="760"/>
        <w:gridCol w:w="740"/>
        <w:gridCol w:w="976"/>
      </w:tblGrid>
      <w:tr w:rsidR="002127A2" w:rsidRPr="002127A2" w:rsidTr="002127A2">
        <w:trPr>
          <w:trHeight w:val="315"/>
        </w:trPr>
        <w:tc>
          <w:tcPr>
            <w:tcW w:w="30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Avance enero - julio de 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3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2127A2" w:rsidRPr="002127A2" w:rsidTr="002127A2">
        <w:trPr>
          <w:trHeight w:val="302"/>
        </w:trPr>
        <w:tc>
          <w:tcPr>
            <w:tcW w:w="1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EN JORNADA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IN ITINERE</w:t>
            </w:r>
          </w:p>
        </w:tc>
      </w:tr>
      <w:tr w:rsidR="002127A2" w:rsidRPr="002127A2" w:rsidTr="002127A2">
        <w:trPr>
          <w:trHeight w:val="302"/>
        </w:trPr>
        <w:tc>
          <w:tcPr>
            <w:tcW w:w="11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Total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Leves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Graves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Mortales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Total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Leves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Graves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Mortales</w:t>
            </w:r>
          </w:p>
        </w:tc>
      </w:tr>
      <w:tr w:rsidR="002127A2" w:rsidRPr="002127A2" w:rsidTr="002127A2">
        <w:trPr>
          <w:trHeight w:val="302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GALICIA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14.931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14.678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221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32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1.635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1.598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</w:tr>
      <w:tr w:rsidR="002127A2" w:rsidRPr="002127A2" w:rsidTr="002127A2">
        <w:trPr>
          <w:trHeight w:val="302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 xml:space="preserve">Coruña (A)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6.718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6.623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692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677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</w:tr>
      <w:tr w:rsidR="002127A2" w:rsidRPr="002127A2" w:rsidTr="002127A2">
        <w:trPr>
          <w:trHeight w:val="302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 xml:space="preserve">Lugo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1.633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1.587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</w:tr>
      <w:tr w:rsidR="002127A2" w:rsidRPr="002127A2" w:rsidTr="002127A2">
        <w:trPr>
          <w:trHeight w:val="302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 xml:space="preserve">Ourense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1.672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1.647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134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-</w:t>
            </w:r>
          </w:p>
        </w:tc>
      </w:tr>
      <w:tr w:rsidR="002127A2" w:rsidRPr="002127A2" w:rsidTr="002127A2">
        <w:trPr>
          <w:trHeight w:val="302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 xml:space="preserve">Pontevedra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4.908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4.821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670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655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es-ES"/>
                <w14:ligatures w14:val="none"/>
              </w:rPr>
              <w:t>-</w:t>
            </w:r>
          </w:p>
        </w:tc>
      </w:tr>
    </w:tbl>
    <w:p w:rsidR="00C75860" w:rsidRPr="002127A2" w:rsidRDefault="00C75860" w:rsidP="00E2737E">
      <w:pPr>
        <w:pStyle w:val="Descripcin"/>
        <w:rPr>
          <w:rFonts w:asciiTheme="majorHAnsi" w:hAnsiTheme="majorHAnsi" w:cstheme="majorHAnsi"/>
        </w:rPr>
      </w:pPr>
    </w:p>
    <w:p w:rsidR="00E2737E" w:rsidRDefault="002127A2" w:rsidP="00E2737E">
      <w:pPr>
        <w:pStyle w:val="Descripcin"/>
      </w:pPr>
      <w:r>
        <w:t>Figura 6</w:t>
      </w:r>
      <w:r w:rsidR="00E2737E">
        <w:t xml:space="preserve">. Accidentes laborales totales, en jornada e in </w:t>
      </w:r>
      <w:proofErr w:type="spellStart"/>
      <w:r w:rsidR="00E2737E">
        <w:t>itinere</w:t>
      </w:r>
      <w:proofErr w:type="spellEnd"/>
      <w:r w:rsidR="00E2737E">
        <w:t xml:space="preserve">. </w:t>
      </w:r>
      <w:r>
        <w:t>Galicia</w:t>
      </w:r>
      <w:r w:rsidR="00E2737E">
        <w:t>. Fuente: Estadísticas de Accidentes de Trabajo del Ministerio de Trabajo y Economía Social.</w:t>
      </w:r>
    </w:p>
    <w:p w:rsidR="00E2737E" w:rsidRDefault="00162BF7" w:rsidP="00B732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provincias, como es normal debido a su población, A Coruña y </w:t>
      </w:r>
      <w:proofErr w:type="spellStart"/>
      <w:r>
        <w:rPr>
          <w:rFonts w:cstheme="minorHAnsi"/>
          <w:sz w:val="24"/>
          <w:szCs w:val="24"/>
        </w:rPr>
        <w:t>Pontevendra</w:t>
      </w:r>
      <w:proofErr w:type="spellEnd"/>
      <w:r>
        <w:rPr>
          <w:rFonts w:cstheme="minorHAnsi"/>
          <w:sz w:val="24"/>
          <w:szCs w:val="24"/>
        </w:rPr>
        <w:t xml:space="preserve"> son las provincias con más accidentes. </w:t>
      </w:r>
    </w:p>
    <w:p w:rsidR="00162BF7" w:rsidRDefault="00162BF7" w:rsidP="00B732E7">
      <w:pPr>
        <w:rPr>
          <w:rFonts w:cstheme="minorHAnsi"/>
          <w:sz w:val="24"/>
          <w:szCs w:val="24"/>
        </w:rPr>
      </w:pPr>
    </w:p>
    <w:p w:rsidR="00D853AE" w:rsidRPr="00E2737E" w:rsidRDefault="00D853AE" w:rsidP="00D853AE">
      <w:pPr>
        <w:jc w:val="center"/>
        <w:rPr>
          <w:rFonts w:cstheme="minorHAnsi"/>
          <w:sz w:val="24"/>
          <w:szCs w:val="24"/>
        </w:rPr>
      </w:pPr>
      <w:r w:rsidRPr="00BE65E4">
        <w:rPr>
          <w:rFonts w:cstheme="minorHAnsi"/>
          <w:color w:val="595959" w:themeColor="text1" w:themeTint="A6"/>
          <w:sz w:val="28"/>
        </w:rPr>
        <w:t xml:space="preserve">Siniestralidad laboral en </w:t>
      </w:r>
      <w:r w:rsidR="002127A2">
        <w:rPr>
          <w:rFonts w:cstheme="minorHAnsi"/>
          <w:color w:val="595959" w:themeColor="text1" w:themeTint="A6"/>
          <w:sz w:val="28"/>
        </w:rPr>
        <w:t>Galicia</w:t>
      </w:r>
      <w:r>
        <w:rPr>
          <w:rFonts w:cstheme="minorHAnsi"/>
          <w:color w:val="595959" w:themeColor="text1" w:themeTint="A6"/>
          <w:sz w:val="28"/>
        </w:rPr>
        <w:t xml:space="preserve">, accidentes </w:t>
      </w:r>
      <w:r w:rsidR="00291B4E">
        <w:rPr>
          <w:rFonts w:cstheme="minorHAnsi"/>
          <w:color w:val="595959" w:themeColor="text1" w:themeTint="A6"/>
          <w:sz w:val="28"/>
        </w:rPr>
        <w:t>según gravedad</w:t>
      </w:r>
      <w:bookmarkStart w:id="0" w:name="_GoBack"/>
      <w:bookmarkEnd w:id="0"/>
    </w:p>
    <w:tbl>
      <w:tblPr>
        <w:tblW w:w="10854" w:type="dxa"/>
        <w:tblInd w:w="-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28"/>
        <w:gridCol w:w="928"/>
        <w:gridCol w:w="819"/>
        <w:gridCol w:w="963"/>
        <w:gridCol w:w="771"/>
        <w:gridCol w:w="771"/>
        <w:gridCol w:w="819"/>
        <w:gridCol w:w="963"/>
        <w:gridCol w:w="760"/>
        <w:gridCol w:w="760"/>
        <w:gridCol w:w="819"/>
        <w:gridCol w:w="968"/>
      </w:tblGrid>
      <w:tr w:rsidR="002127A2" w:rsidRPr="002127A2" w:rsidTr="002127A2">
        <w:trPr>
          <w:trHeight w:val="333"/>
        </w:trPr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Avance enero - julio 2025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127A2" w:rsidRPr="002127A2" w:rsidTr="002127A2">
        <w:trPr>
          <w:trHeight w:val="32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EN JORNADA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 ITINERE</w:t>
            </w: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</w:tr>
      <w:tr w:rsidR="002127A2" w:rsidRPr="002127A2" w:rsidTr="002127A2">
        <w:trPr>
          <w:trHeight w:val="32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Leves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Graves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Mortales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Leves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Graves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Mortales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Leves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Graves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27A2" w:rsidRPr="002127A2" w:rsidRDefault="002127A2" w:rsidP="002127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Mortales</w:t>
            </w:r>
          </w:p>
        </w:tc>
      </w:tr>
      <w:tr w:rsidR="002127A2" w:rsidRPr="002127A2" w:rsidTr="002127A2">
        <w:trPr>
          <w:trHeight w:val="32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12.826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12.586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218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1.124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1.100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13.950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13.686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26</w:t>
            </w:r>
          </w:p>
        </w:tc>
      </w:tr>
      <w:tr w:rsidR="002127A2" w:rsidRPr="002127A2" w:rsidTr="002127A2">
        <w:trPr>
          <w:trHeight w:val="32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14.256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13.980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233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43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1.388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1.362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15.644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15.342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49</w:t>
            </w:r>
          </w:p>
        </w:tc>
      </w:tr>
      <w:tr w:rsidR="002127A2" w:rsidRPr="002127A2" w:rsidTr="002127A2">
        <w:trPr>
          <w:trHeight w:val="32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14.354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14.141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182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31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1.536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1.510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15.890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15.651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36</w:t>
            </w:r>
          </w:p>
        </w:tc>
      </w:tr>
      <w:tr w:rsidR="002127A2" w:rsidRPr="002127A2" w:rsidTr="002127A2">
        <w:trPr>
          <w:trHeight w:val="32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14.577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14.332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215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1.687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1.653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16.264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15.985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36</w:t>
            </w:r>
          </w:p>
        </w:tc>
      </w:tr>
      <w:tr w:rsidR="002127A2" w:rsidRPr="002127A2" w:rsidTr="002127A2">
        <w:trPr>
          <w:trHeight w:val="32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14.931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14.678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221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1.635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1.598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ind w:firstLineChars="100" w:firstLine="180"/>
              <w:jc w:val="right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ES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16.566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16.276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A2" w:rsidRPr="002127A2" w:rsidRDefault="002127A2" w:rsidP="002127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127A2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38</w:t>
            </w:r>
          </w:p>
        </w:tc>
      </w:tr>
    </w:tbl>
    <w:p w:rsidR="00A2042D" w:rsidRPr="002127A2" w:rsidRDefault="00A2042D" w:rsidP="00D853AE">
      <w:pPr>
        <w:pStyle w:val="Descripcin"/>
        <w:rPr>
          <w:rFonts w:asciiTheme="majorHAnsi" w:hAnsiTheme="majorHAnsi" w:cstheme="majorHAnsi"/>
          <w:i w:val="0"/>
          <w:iCs w:val="0"/>
          <w:color w:val="auto"/>
          <w:sz w:val="16"/>
          <w:szCs w:val="16"/>
        </w:rPr>
      </w:pPr>
    </w:p>
    <w:p w:rsidR="00D853AE" w:rsidRDefault="002127A2" w:rsidP="00D853AE">
      <w:pPr>
        <w:pStyle w:val="Descripcin"/>
      </w:pPr>
      <w:r>
        <w:t>Figura 7</w:t>
      </w:r>
      <w:r w:rsidR="00D853AE">
        <w:t xml:space="preserve">. Accidentes laborales totales, en jornada e in </w:t>
      </w:r>
      <w:proofErr w:type="spellStart"/>
      <w:r w:rsidR="00D853AE">
        <w:t>itinere</w:t>
      </w:r>
      <w:proofErr w:type="spellEnd"/>
      <w:r w:rsidR="00D853AE">
        <w:t xml:space="preserve">. </w:t>
      </w:r>
      <w:r>
        <w:t>Galicia</w:t>
      </w:r>
      <w:r w:rsidR="00D853AE">
        <w:t>. Fuente: Estadísticas de Accidentes de Trabajo del Ministerio de Trabajo y Economía Social.</w:t>
      </w:r>
    </w:p>
    <w:p w:rsidR="00F13AC6" w:rsidRDefault="00F13AC6" w:rsidP="00630089">
      <w:pPr>
        <w:ind w:firstLine="1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sz w:val="24"/>
          <w:szCs w:val="24"/>
        </w:rPr>
        <w:t>En este último año, los accidentes totales</w:t>
      </w:r>
      <w:r w:rsidR="00162BF7">
        <w:rPr>
          <w:rFonts w:cstheme="minorHAnsi"/>
          <w:sz w:val="24"/>
          <w:szCs w:val="24"/>
        </w:rPr>
        <w:t xml:space="preserve"> en Galicia</w:t>
      </w:r>
      <w:r>
        <w:rPr>
          <w:rFonts w:cstheme="minorHAnsi"/>
          <w:sz w:val="24"/>
          <w:szCs w:val="24"/>
        </w:rPr>
        <w:t xml:space="preserve">, sumando los acontecidos en jornada e </w:t>
      </w:r>
      <w:r w:rsidR="008B6F4E">
        <w:rPr>
          <w:rFonts w:cstheme="minorHAnsi"/>
          <w:i/>
          <w:sz w:val="24"/>
          <w:szCs w:val="24"/>
        </w:rPr>
        <w:t xml:space="preserve">in </w:t>
      </w:r>
      <w:proofErr w:type="spellStart"/>
      <w:r>
        <w:rPr>
          <w:rFonts w:cstheme="minorHAnsi"/>
          <w:i/>
          <w:sz w:val="24"/>
          <w:szCs w:val="24"/>
        </w:rPr>
        <w:t>itinere</w:t>
      </w:r>
      <w:proofErr w:type="spellEnd"/>
      <w:r>
        <w:rPr>
          <w:rFonts w:cstheme="minorHAnsi"/>
          <w:i/>
          <w:sz w:val="24"/>
          <w:szCs w:val="24"/>
        </w:rPr>
        <w:t xml:space="preserve">, </w:t>
      </w:r>
      <w:r w:rsidRPr="00FD335F">
        <w:rPr>
          <w:rFonts w:cstheme="minorHAnsi"/>
          <w:sz w:val="24"/>
          <w:szCs w:val="24"/>
        </w:rPr>
        <w:t xml:space="preserve">alcanzan los </w:t>
      </w:r>
      <w:r w:rsidR="00B86F78">
        <w:rPr>
          <w:rFonts w:cstheme="minorHAnsi"/>
          <w:sz w:val="24"/>
          <w:szCs w:val="24"/>
        </w:rPr>
        <w:t>14.931</w:t>
      </w:r>
      <w:r w:rsidRPr="00FD335F">
        <w:rPr>
          <w:rFonts w:cstheme="minorHAnsi"/>
          <w:sz w:val="24"/>
          <w:szCs w:val="24"/>
        </w:rPr>
        <w:t>, la</w:t>
      </w:r>
      <w:r w:rsidR="00B86F78">
        <w:rPr>
          <w:rFonts w:cstheme="minorHAnsi"/>
          <w:sz w:val="24"/>
          <w:szCs w:val="24"/>
        </w:rPr>
        <w:t xml:space="preserve"> cifra más alta de los últimos 5</w:t>
      </w:r>
      <w:r w:rsidRPr="00FD335F">
        <w:rPr>
          <w:rFonts w:cstheme="minorHAnsi"/>
          <w:sz w:val="24"/>
          <w:szCs w:val="24"/>
        </w:rPr>
        <w:t xml:space="preserve"> años. </w:t>
      </w:r>
      <w:r w:rsidR="00630089">
        <w:rPr>
          <w:rFonts w:cstheme="minorHAnsi"/>
          <w:sz w:val="24"/>
          <w:szCs w:val="24"/>
        </w:rPr>
        <w:t xml:space="preserve">Tanto los accidentes graves como los mortales han </w:t>
      </w:r>
      <w:r w:rsidR="00B86F78">
        <w:rPr>
          <w:rFonts w:cstheme="minorHAnsi"/>
          <w:sz w:val="24"/>
          <w:szCs w:val="24"/>
        </w:rPr>
        <w:t>aumentado ligeramente</w:t>
      </w:r>
      <w:r w:rsidR="00630089">
        <w:rPr>
          <w:rFonts w:cstheme="minorHAnsi"/>
          <w:sz w:val="24"/>
          <w:szCs w:val="24"/>
        </w:rPr>
        <w:t xml:space="preserve"> respecto a las cifras de 202</w:t>
      </w:r>
      <w:r w:rsidR="00B86F78">
        <w:rPr>
          <w:rFonts w:cstheme="minorHAnsi"/>
          <w:sz w:val="24"/>
          <w:szCs w:val="24"/>
        </w:rPr>
        <w:t>4 y 2025</w:t>
      </w:r>
      <w:r w:rsidR="00630089">
        <w:rPr>
          <w:rFonts w:cstheme="minorHAnsi"/>
          <w:sz w:val="24"/>
          <w:szCs w:val="24"/>
        </w:rPr>
        <w:t xml:space="preserve">, </w:t>
      </w:r>
      <w:r w:rsidR="00B86F78">
        <w:rPr>
          <w:rFonts w:cstheme="minorHAnsi"/>
          <w:sz w:val="24"/>
          <w:szCs w:val="24"/>
        </w:rPr>
        <w:t>al igual que los accidentes graves</w:t>
      </w:r>
      <w:r w:rsidR="00630089">
        <w:rPr>
          <w:rFonts w:cstheme="minorHAnsi"/>
          <w:sz w:val="24"/>
          <w:szCs w:val="24"/>
        </w:rPr>
        <w:t xml:space="preserve">. </w:t>
      </w:r>
      <w:r w:rsidR="00630089">
        <w:rPr>
          <w:rFonts w:cstheme="minorHAnsi"/>
          <w:b/>
          <w:sz w:val="24"/>
          <w:szCs w:val="28"/>
        </w:rPr>
        <w:t>En</w:t>
      </w:r>
      <w:r w:rsidR="00B86F78">
        <w:rPr>
          <w:rFonts w:cstheme="minorHAnsi"/>
          <w:b/>
          <w:sz w:val="24"/>
          <w:szCs w:val="28"/>
        </w:rPr>
        <w:t>tre enero y julio de</w:t>
      </w:r>
      <w:r w:rsidR="00630089">
        <w:rPr>
          <w:rFonts w:cstheme="minorHAnsi"/>
          <w:b/>
          <w:sz w:val="24"/>
          <w:szCs w:val="28"/>
        </w:rPr>
        <w:t xml:space="preserve"> </w:t>
      </w:r>
      <w:r w:rsidR="00B86F78">
        <w:rPr>
          <w:rFonts w:cstheme="minorHAnsi"/>
          <w:b/>
          <w:sz w:val="24"/>
          <w:szCs w:val="28"/>
        </w:rPr>
        <w:t>2025</w:t>
      </w:r>
      <w:r w:rsidR="00FD335F" w:rsidRPr="00FD335F">
        <w:rPr>
          <w:rFonts w:cstheme="minorHAnsi"/>
          <w:b/>
          <w:sz w:val="24"/>
          <w:szCs w:val="28"/>
        </w:rPr>
        <w:t xml:space="preserve"> se </w:t>
      </w:r>
      <w:r w:rsidR="00630089">
        <w:rPr>
          <w:rFonts w:cstheme="minorHAnsi"/>
          <w:b/>
          <w:sz w:val="24"/>
          <w:szCs w:val="28"/>
        </w:rPr>
        <w:t>produjeron</w:t>
      </w:r>
      <w:r w:rsidR="00FD335F" w:rsidRPr="00FD335F">
        <w:rPr>
          <w:rFonts w:cstheme="minorHAnsi"/>
          <w:b/>
          <w:sz w:val="24"/>
          <w:szCs w:val="28"/>
        </w:rPr>
        <w:t xml:space="preserve"> en </w:t>
      </w:r>
      <w:r w:rsidR="00B86F78">
        <w:rPr>
          <w:rFonts w:cstheme="minorHAnsi"/>
          <w:b/>
          <w:sz w:val="24"/>
          <w:szCs w:val="28"/>
        </w:rPr>
        <w:t>Galicia</w:t>
      </w:r>
      <w:r w:rsidR="00FD335F" w:rsidRPr="00FD335F">
        <w:rPr>
          <w:rFonts w:cstheme="minorHAnsi"/>
          <w:b/>
          <w:sz w:val="24"/>
          <w:szCs w:val="28"/>
        </w:rPr>
        <w:t xml:space="preserve"> </w:t>
      </w:r>
      <w:r w:rsidR="00B86F78">
        <w:rPr>
          <w:rFonts w:cstheme="minorHAnsi"/>
          <w:b/>
          <w:sz w:val="24"/>
          <w:szCs w:val="28"/>
        </w:rPr>
        <w:t>más de 3 accidentes laborales mortales al mes</w:t>
      </w:r>
      <w:r w:rsidR="00630089">
        <w:rPr>
          <w:rFonts w:cstheme="minorHAnsi"/>
          <w:b/>
          <w:sz w:val="24"/>
          <w:szCs w:val="28"/>
        </w:rPr>
        <w:t xml:space="preserve">. </w:t>
      </w:r>
    </w:p>
    <w:p w:rsidR="00162BF7" w:rsidRPr="00630089" w:rsidRDefault="00162BF7" w:rsidP="00630089">
      <w:pPr>
        <w:ind w:firstLine="1"/>
        <w:jc w:val="both"/>
        <w:rPr>
          <w:rFonts w:cstheme="minorHAnsi"/>
          <w:sz w:val="24"/>
          <w:szCs w:val="24"/>
        </w:rPr>
      </w:pPr>
    </w:p>
    <w:p w:rsidR="00F13AC6" w:rsidRPr="00F13AC6" w:rsidRDefault="00F13AC6" w:rsidP="00F13AC6"/>
    <w:p w:rsidR="00D07387" w:rsidRPr="00F13AC6" w:rsidRDefault="00162BF7" w:rsidP="00B732E7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ES"/>
          <w14:ligatures w14:val="none"/>
        </w:rPr>
        <w:lastRenderedPageBreak/>
        <w:drawing>
          <wp:inline distT="0" distB="0" distL="0" distR="0" wp14:anchorId="564BF9DD" wp14:editId="5DC35C8B">
            <wp:extent cx="5400040" cy="3427730"/>
            <wp:effectExtent l="0" t="0" r="10160" b="127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4D7C" w:rsidRDefault="009C4D7C" w:rsidP="009C4D7C">
      <w:pPr>
        <w:pStyle w:val="Descripcin"/>
      </w:pPr>
      <w:r w:rsidRPr="009E7248">
        <w:t>Figura</w:t>
      </w:r>
      <w:r w:rsidR="00162BF7">
        <w:t xml:space="preserve"> 8</w:t>
      </w:r>
      <w:r w:rsidRPr="009E7248">
        <w:t xml:space="preserve">. Índices de incidencia </w:t>
      </w:r>
      <w:r w:rsidR="00BB3515">
        <w:t>anual</w:t>
      </w:r>
      <w:r w:rsidRPr="009E7248">
        <w:t xml:space="preserve"> de accidentes con baja en jornada cada 100.000 afiliados a la Seguridad Social que tienen cubiertas las contingencias profesionales. Fuente: Estadísticas</w:t>
      </w:r>
      <w:r>
        <w:t xml:space="preserve"> de accidentes de trabajo del</w:t>
      </w:r>
      <w:r w:rsidRPr="009E7248">
        <w:t xml:space="preserve"> Ministerio de Trabajo y Economía Social.</w:t>
      </w:r>
      <w:r>
        <w:t xml:space="preserve"> </w:t>
      </w:r>
    </w:p>
    <w:p w:rsidR="00FA7689" w:rsidRDefault="009C4D7C" w:rsidP="005225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índice de incidencia </w:t>
      </w:r>
      <w:r w:rsidR="00BB3515">
        <w:rPr>
          <w:rFonts w:cstheme="minorHAnsi"/>
          <w:sz w:val="24"/>
          <w:szCs w:val="24"/>
        </w:rPr>
        <w:t>anual</w:t>
      </w:r>
      <w:r>
        <w:rPr>
          <w:rFonts w:cstheme="minorHAnsi"/>
          <w:sz w:val="24"/>
          <w:szCs w:val="24"/>
        </w:rPr>
        <w:t xml:space="preserve"> de accidentes con baja refleja el número de accidentes que </w:t>
      </w:r>
      <w:r w:rsidR="008B6F4E">
        <w:rPr>
          <w:rFonts w:cstheme="minorHAnsi"/>
          <w:sz w:val="24"/>
          <w:szCs w:val="24"/>
        </w:rPr>
        <w:t>se producen al</w:t>
      </w:r>
      <w:r>
        <w:rPr>
          <w:rFonts w:cstheme="minorHAnsi"/>
          <w:sz w:val="24"/>
          <w:szCs w:val="24"/>
        </w:rPr>
        <w:t xml:space="preserve"> m</w:t>
      </w:r>
      <w:r w:rsidR="00224DE1">
        <w:rPr>
          <w:rFonts w:cstheme="minorHAnsi"/>
          <w:sz w:val="24"/>
          <w:szCs w:val="24"/>
        </w:rPr>
        <w:t>es cada 100.000 afiliados a la Seguridad S</w:t>
      </w:r>
      <w:r>
        <w:rPr>
          <w:rFonts w:cstheme="minorHAnsi"/>
          <w:sz w:val="24"/>
          <w:szCs w:val="24"/>
        </w:rPr>
        <w:t xml:space="preserve">ocial, lo que permite realizar comparativas entre la siniestralidad de diferentes regiones o sectores. </w:t>
      </w:r>
      <w:r>
        <w:rPr>
          <w:rFonts w:cstheme="minorHAnsi"/>
          <w:b/>
          <w:sz w:val="24"/>
          <w:szCs w:val="24"/>
        </w:rPr>
        <w:t xml:space="preserve">El índice de incidencia en </w:t>
      </w:r>
      <w:r w:rsidR="007A1C53">
        <w:rPr>
          <w:rFonts w:cstheme="minorHAnsi"/>
          <w:b/>
          <w:sz w:val="24"/>
          <w:szCs w:val="24"/>
        </w:rPr>
        <w:t>Galicia</w:t>
      </w:r>
      <w:r>
        <w:rPr>
          <w:rFonts w:cstheme="minorHAnsi"/>
          <w:b/>
          <w:sz w:val="24"/>
          <w:szCs w:val="24"/>
        </w:rPr>
        <w:t xml:space="preserve"> </w:t>
      </w:r>
      <w:r w:rsidR="00C236E9">
        <w:rPr>
          <w:rFonts w:cstheme="minorHAnsi"/>
          <w:b/>
          <w:sz w:val="24"/>
          <w:szCs w:val="24"/>
        </w:rPr>
        <w:t xml:space="preserve">de accidentes en jornada </w:t>
      </w:r>
      <w:r w:rsidRPr="00905289">
        <w:rPr>
          <w:rFonts w:cstheme="minorHAnsi"/>
          <w:b/>
          <w:sz w:val="24"/>
          <w:szCs w:val="24"/>
        </w:rPr>
        <w:t xml:space="preserve">en </w:t>
      </w:r>
      <w:r>
        <w:rPr>
          <w:rFonts w:cstheme="minorHAnsi"/>
          <w:b/>
          <w:sz w:val="24"/>
          <w:szCs w:val="24"/>
        </w:rPr>
        <w:t>2024 fue</w:t>
      </w:r>
      <w:r w:rsidRPr="00905289">
        <w:rPr>
          <w:rFonts w:cstheme="minorHAnsi"/>
          <w:b/>
          <w:sz w:val="24"/>
          <w:szCs w:val="24"/>
        </w:rPr>
        <w:t xml:space="preserve"> de </w:t>
      </w:r>
      <w:r w:rsidR="007A1C53">
        <w:rPr>
          <w:rFonts w:cstheme="minorHAnsi"/>
          <w:b/>
          <w:sz w:val="24"/>
          <w:szCs w:val="24"/>
        </w:rPr>
        <w:t>200</w:t>
      </w:r>
      <w:r w:rsidRPr="00905289">
        <w:rPr>
          <w:rFonts w:cstheme="minorHAnsi"/>
          <w:b/>
          <w:sz w:val="24"/>
          <w:szCs w:val="24"/>
        </w:rPr>
        <w:t xml:space="preserve"> accidentes, </w:t>
      </w:r>
      <w:r w:rsidR="007A1C53">
        <w:rPr>
          <w:rFonts w:cstheme="minorHAnsi"/>
          <w:b/>
          <w:sz w:val="24"/>
          <w:szCs w:val="24"/>
        </w:rPr>
        <w:t>por debajo de</w:t>
      </w:r>
      <w:r w:rsidR="00BB3515">
        <w:rPr>
          <w:rFonts w:cstheme="minorHAnsi"/>
          <w:b/>
          <w:sz w:val="24"/>
          <w:szCs w:val="24"/>
        </w:rPr>
        <w:t xml:space="preserve"> la media del conjunto de comunidades</w:t>
      </w:r>
      <w:r w:rsidR="00695FBE">
        <w:rPr>
          <w:rFonts w:cstheme="minorHAnsi"/>
          <w:sz w:val="24"/>
          <w:szCs w:val="24"/>
        </w:rPr>
        <w:t>.</w:t>
      </w:r>
    </w:p>
    <w:p w:rsidR="006D062B" w:rsidRDefault="006D062B" w:rsidP="0052253C">
      <w:pPr>
        <w:jc w:val="both"/>
        <w:rPr>
          <w:rFonts w:cstheme="minorHAnsi"/>
          <w:sz w:val="24"/>
          <w:szCs w:val="24"/>
        </w:rPr>
      </w:pPr>
    </w:p>
    <w:p w:rsidR="006D062B" w:rsidRPr="006D062B" w:rsidRDefault="006D062B" w:rsidP="0052253C">
      <w:pPr>
        <w:jc w:val="both"/>
        <w:rPr>
          <w:rFonts w:cstheme="minorHAnsi"/>
          <w:sz w:val="24"/>
          <w:szCs w:val="24"/>
        </w:rPr>
      </w:pPr>
    </w:p>
    <w:p w:rsidR="00FA7689" w:rsidRDefault="007A1C53" w:rsidP="0052253C">
      <w:pPr>
        <w:jc w:val="both"/>
        <w:rPr>
          <w:sz w:val="24"/>
        </w:rPr>
      </w:pPr>
      <w:r>
        <w:rPr>
          <w:noProof/>
          <w:lang w:eastAsia="es-ES"/>
          <w14:ligatures w14:val="none"/>
        </w:rPr>
        <w:lastRenderedPageBreak/>
        <w:drawing>
          <wp:inline distT="0" distB="0" distL="0" distR="0" wp14:anchorId="0F46A73E" wp14:editId="762EDA6B">
            <wp:extent cx="5105400" cy="340995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062B" w:rsidRDefault="006D062B" w:rsidP="006D062B">
      <w:pPr>
        <w:pStyle w:val="Descripcin"/>
      </w:pPr>
      <w:r w:rsidRPr="009E7248">
        <w:t>Figura</w:t>
      </w:r>
      <w:r w:rsidR="007A1C53">
        <w:t xml:space="preserve"> 9</w:t>
      </w:r>
      <w:r>
        <w:t>. Índices</w:t>
      </w:r>
      <w:r w:rsidRPr="009E7248">
        <w:t xml:space="preserve"> de incidencia </w:t>
      </w:r>
      <w:r>
        <w:t>anual</w:t>
      </w:r>
      <w:r w:rsidRPr="009E7248">
        <w:t xml:space="preserve"> de accidentes con baja en jornada cada 100.000 afiliados a la Seguridad Social que tienen cubiertas las contingencias profesionales. Fuente: Estadísticas</w:t>
      </w:r>
      <w:r>
        <w:t xml:space="preserve"> de accidentes de trabajo del</w:t>
      </w:r>
      <w:r w:rsidRPr="009E7248">
        <w:t xml:space="preserve"> Ministerio de Trabajo y Economía Social.</w:t>
      </w:r>
      <w:r>
        <w:t xml:space="preserve"> </w:t>
      </w:r>
    </w:p>
    <w:p w:rsidR="006D062B" w:rsidRDefault="006D062B" w:rsidP="0052253C">
      <w:pPr>
        <w:jc w:val="both"/>
        <w:rPr>
          <w:sz w:val="24"/>
        </w:rPr>
      </w:pPr>
      <w:r>
        <w:rPr>
          <w:sz w:val="24"/>
        </w:rPr>
        <w:t xml:space="preserve">¿Y qué ocurre con las provincias de </w:t>
      </w:r>
      <w:r w:rsidR="007A1C53">
        <w:rPr>
          <w:sz w:val="24"/>
        </w:rPr>
        <w:t>Galicia</w:t>
      </w:r>
      <w:r>
        <w:rPr>
          <w:sz w:val="24"/>
        </w:rPr>
        <w:t xml:space="preserve">? Si analizamos sus índices de incidencia para poder compararlas, se observa que la provincia con más accidentes por número de trabajadores es </w:t>
      </w:r>
      <w:r w:rsidR="007A1C53">
        <w:rPr>
          <w:sz w:val="24"/>
        </w:rPr>
        <w:t>Ourense</w:t>
      </w:r>
      <w:r>
        <w:rPr>
          <w:sz w:val="24"/>
        </w:rPr>
        <w:t xml:space="preserve">, seguida de </w:t>
      </w:r>
      <w:r w:rsidR="007A1C53">
        <w:rPr>
          <w:sz w:val="24"/>
        </w:rPr>
        <w:t>A Coruña</w:t>
      </w:r>
      <w:r>
        <w:rPr>
          <w:sz w:val="24"/>
        </w:rPr>
        <w:t xml:space="preserve">. </w:t>
      </w:r>
    </w:p>
    <w:p w:rsidR="0030454C" w:rsidRDefault="0030454C" w:rsidP="0052253C">
      <w:pPr>
        <w:jc w:val="both"/>
        <w:rPr>
          <w:sz w:val="24"/>
        </w:rPr>
      </w:pPr>
    </w:p>
    <w:p w:rsidR="006D062B" w:rsidRDefault="007A182C" w:rsidP="006D062B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ES"/>
          <w14:ligatures w14:val="none"/>
        </w:rPr>
        <w:drawing>
          <wp:inline distT="0" distB="0" distL="0" distR="0" wp14:anchorId="7879D076" wp14:editId="55408157">
            <wp:extent cx="5400040" cy="3174365"/>
            <wp:effectExtent l="0" t="0" r="10160" b="698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062B" w:rsidRPr="00813E3C" w:rsidRDefault="006D062B" w:rsidP="006D062B">
      <w:pPr>
        <w:pStyle w:val="Descripcin"/>
        <w:rPr>
          <w:sz w:val="24"/>
          <w:szCs w:val="24"/>
        </w:rPr>
      </w:pPr>
      <w:r w:rsidRPr="009E7248">
        <w:t>Figura</w:t>
      </w:r>
      <w:r w:rsidR="007A1C53">
        <w:t xml:space="preserve"> 10</w:t>
      </w:r>
      <w:r w:rsidRPr="009E7248">
        <w:t xml:space="preserve">. </w:t>
      </w:r>
      <w:r>
        <w:t xml:space="preserve">Datos definitivos relativos al total de cada año, tanto en jornada como in </w:t>
      </w:r>
      <w:proofErr w:type="spellStart"/>
      <w:r>
        <w:t>itinere</w:t>
      </w:r>
      <w:proofErr w:type="spellEnd"/>
      <w:r>
        <w:t xml:space="preserve">, y para el año completo. </w:t>
      </w:r>
      <w:r w:rsidRPr="009E7248">
        <w:t xml:space="preserve">Fuente: Estadísticas </w:t>
      </w:r>
      <w:r>
        <w:t xml:space="preserve">de accidentes de trabajo del </w:t>
      </w:r>
      <w:r w:rsidRPr="009E7248">
        <w:t>Ministerio de Trabajo y Economía Social.</w:t>
      </w:r>
      <w:r>
        <w:t xml:space="preserve"> </w:t>
      </w:r>
    </w:p>
    <w:p w:rsidR="00B732E7" w:rsidRPr="006A7DB3" w:rsidRDefault="00813E3C" w:rsidP="0052253C">
      <w:pPr>
        <w:jc w:val="both"/>
        <w:rPr>
          <w:sz w:val="24"/>
        </w:rPr>
      </w:pPr>
      <w:r>
        <w:rPr>
          <w:sz w:val="24"/>
        </w:rPr>
        <w:lastRenderedPageBreak/>
        <w:t>Por último, s</w:t>
      </w:r>
      <w:r w:rsidR="00C10DFE" w:rsidRPr="00905289">
        <w:rPr>
          <w:sz w:val="24"/>
        </w:rPr>
        <w:t xml:space="preserve">i </w:t>
      </w:r>
      <w:r>
        <w:rPr>
          <w:sz w:val="24"/>
        </w:rPr>
        <w:t>analizamos</w:t>
      </w:r>
      <w:r w:rsidR="00C10DFE" w:rsidRPr="00905289">
        <w:rPr>
          <w:sz w:val="24"/>
        </w:rPr>
        <w:t xml:space="preserve"> la evolución </w:t>
      </w:r>
      <w:r>
        <w:rPr>
          <w:sz w:val="24"/>
        </w:rPr>
        <w:t>duran</w:t>
      </w:r>
      <w:r w:rsidR="009925FC">
        <w:rPr>
          <w:sz w:val="24"/>
        </w:rPr>
        <w:t>te los últimos 20 años (Figura 10</w:t>
      </w:r>
      <w:r w:rsidR="00C10DFE">
        <w:rPr>
          <w:sz w:val="24"/>
        </w:rPr>
        <w:t>)</w:t>
      </w:r>
      <w:r w:rsidR="00C10DFE" w:rsidRPr="00905289">
        <w:rPr>
          <w:sz w:val="24"/>
        </w:rPr>
        <w:t xml:space="preserve">, </w:t>
      </w:r>
      <w:r>
        <w:rPr>
          <w:sz w:val="24"/>
        </w:rPr>
        <w:t xml:space="preserve">se observa como el número de accidentes totales y el de accidentes mortales han tenido una dinámica similar. Los números son más elevados </w:t>
      </w:r>
      <w:r w:rsidR="00C10DFE" w:rsidRPr="00905289">
        <w:rPr>
          <w:sz w:val="24"/>
        </w:rPr>
        <w:t>en los años previos a la crisis, para caer después con la caída del empleo, y aumentar</w:t>
      </w:r>
      <w:r w:rsidR="009925FC">
        <w:rPr>
          <w:sz w:val="24"/>
        </w:rPr>
        <w:t xml:space="preserve"> ligeramente y estabilizarse</w:t>
      </w:r>
      <w:r w:rsidR="00C10DFE" w:rsidRPr="00905289">
        <w:rPr>
          <w:sz w:val="24"/>
        </w:rPr>
        <w:t xml:space="preserve"> a partir de 2014 con la recuperación de la afiliación</w:t>
      </w:r>
      <w:r>
        <w:rPr>
          <w:sz w:val="24"/>
        </w:rPr>
        <w:t>, aunque sin alcanzar los niveles pasados, por lo que proporcionalmente, la incidencia de la siniestralidad laboral parece haberse reducido</w:t>
      </w:r>
      <w:r w:rsidR="00C10DFE" w:rsidRPr="00905289">
        <w:rPr>
          <w:sz w:val="24"/>
        </w:rPr>
        <w:t>.</w:t>
      </w:r>
      <w:r w:rsidR="00C10DFE">
        <w:rPr>
          <w:sz w:val="24"/>
        </w:rPr>
        <w:t xml:space="preserve"> </w:t>
      </w:r>
      <w:r>
        <w:rPr>
          <w:sz w:val="24"/>
        </w:rPr>
        <w:t>E</w:t>
      </w:r>
      <w:r w:rsidR="00364B4C">
        <w:rPr>
          <w:sz w:val="24"/>
        </w:rPr>
        <w:t>n todo caso, es de destacar que</w:t>
      </w:r>
      <w:r w:rsidR="001C2B6F">
        <w:rPr>
          <w:sz w:val="24"/>
        </w:rPr>
        <w:t>,</w:t>
      </w:r>
      <w:r w:rsidR="00364B4C">
        <w:rPr>
          <w:sz w:val="24"/>
        </w:rPr>
        <w:t xml:space="preserve"> </w:t>
      </w:r>
      <w:r w:rsidR="001C2B6F" w:rsidRPr="00600C7E">
        <w:rPr>
          <w:b/>
          <w:sz w:val="24"/>
        </w:rPr>
        <w:t xml:space="preserve">en </w:t>
      </w:r>
      <w:r w:rsidR="009925FC">
        <w:rPr>
          <w:b/>
          <w:sz w:val="24"/>
        </w:rPr>
        <w:t>Galicia</w:t>
      </w:r>
      <w:r w:rsidR="001C2B6F" w:rsidRPr="00600C7E">
        <w:rPr>
          <w:b/>
          <w:sz w:val="24"/>
        </w:rPr>
        <w:t xml:space="preserve">, en los últimos 30 años se han producido </w:t>
      </w:r>
      <w:r w:rsidR="007A182C" w:rsidRPr="007A182C">
        <w:rPr>
          <w:b/>
          <w:sz w:val="24"/>
        </w:rPr>
        <w:t>más de 2.9</w:t>
      </w:r>
      <w:r w:rsidR="006A7DB3" w:rsidRPr="007A182C">
        <w:rPr>
          <w:b/>
          <w:sz w:val="24"/>
        </w:rPr>
        <w:t>00 muertes</w:t>
      </w:r>
      <w:r w:rsidR="006A7DB3" w:rsidRPr="007A182C">
        <w:rPr>
          <w:sz w:val="24"/>
        </w:rPr>
        <w:t xml:space="preserve">, </w:t>
      </w:r>
      <w:r w:rsidR="00364B4C" w:rsidRPr="007A182C">
        <w:rPr>
          <w:sz w:val="24"/>
        </w:rPr>
        <w:t xml:space="preserve">y </w:t>
      </w:r>
      <w:r w:rsidR="003E34A6" w:rsidRPr="007A182C">
        <w:rPr>
          <w:sz w:val="24"/>
        </w:rPr>
        <w:t xml:space="preserve">con los datos </w:t>
      </w:r>
      <w:r w:rsidR="007A182C" w:rsidRPr="007A182C">
        <w:rPr>
          <w:sz w:val="24"/>
        </w:rPr>
        <w:t>hasta julio de 2025 ya se han registrado 3</w:t>
      </w:r>
      <w:r w:rsidR="003E34A6" w:rsidRPr="007A182C">
        <w:rPr>
          <w:sz w:val="24"/>
        </w:rPr>
        <w:t>8</w:t>
      </w:r>
      <w:r w:rsidR="00A210BA" w:rsidRPr="007A182C">
        <w:rPr>
          <w:sz w:val="24"/>
        </w:rPr>
        <w:t>, cifras de gran gravedad que no pueden ser normalizadas</w:t>
      </w:r>
      <w:r w:rsidR="000E56E9" w:rsidRPr="007A182C">
        <w:rPr>
          <w:sz w:val="24"/>
        </w:rPr>
        <w:t>.</w:t>
      </w:r>
      <w:r w:rsidR="000E56E9">
        <w:rPr>
          <w:sz w:val="24"/>
        </w:rPr>
        <w:t xml:space="preserve"> L</w:t>
      </w:r>
      <w:r w:rsidR="000E56E9" w:rsidRPr="00836229">
        <w:rPr>
          <w:sz w:val="24"/>
          <w:szCs w:val="24"/>
        </w:rPr>
        <w:t xml:space="preserve">os accidentes laborales </w:t>
      </w:r>
      <w:r w:rsidR="000E56E9">
        <w:rPr>
          <w:sz w:val="24"/>
          <w:szCs w:val="24"/>
        </w:rPr>
        <w:t xml:space="preserve">suponen una auténtica sangría tanto en esta CC.AA. como en el resto del Estado, </w:t>
      </w:r>
      <w:r w:rsidR="000E56E9" w:rsidRPr="009E7248">
        <w:rPr>
          <w:b/>
          <w:sz w:val="24"/>
          <w:szCs w:val="24"/>
        </w:rPr>
        <w:t>muertes que no son casuales ni inevitables, sino que responden a una situación estructural</w:t>
      </w:r>
      <w:r w:rsidR="000E56E9" w:rsidRPr="00836229">
        <w:rPr>
          <w:sz w:val="24"/>
          <w:szCs w:val="24"/>
        </w:rPr>
        <w:t>. La dejadez del gobierno autonómico y estatal y su connivencia con los empresarios, que sólo ven a los trabajadores como mera mano de obra reemplazable para aumentar sus ganancias, son responsables de este problema tan grave.</w:t>
      </w:r>
    </w:p>
    <w:sectPr w:rsidR="00B732E7" w:rsidRPr="006A7DB3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BE" w:rsidRDefault="009719BE" w:rsidP="00E66FE4">
      <w:pPr>
        <w:spacing w:after="0" w:line="240" w:lineRule="auto"/>
      </w:pPr>
      <w:r>
        <w:separator/>
      </w:r>
    </w:p>
  </w:endnote>
  <w:endnote w:type="continuationSeparator" w:id="0">
    <w:p w:rsidR="009719BE" w:rsidRDefault="009719BE" w:rsidP="00E6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29576"/>
      <w:docPartObj>
        <w:docPartGallery w:val="Page Numbers (Bottom of Page)"/>
        <w:docPartUnique/>
      </w:docPartObj>
    </w:sdtPr>
    <w:sdtContent>
      <w:p w:rsidR="00162BF7" w:rsidRDefault="00162B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B4E">
          <w:rPr>
            <w:noProof/>
          </w:rPr>
          <w:t>8</w:t>
        </w:r>
        <w:r>
          <w:fldChar w:fldCharType="end"/>
        </w:r>
      </w:p>
    </w:sdtContent>
  </w:sdt>
  <w:p w:rsidR="00162BF7" w:rsidRDefault="00162B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BE" w:rsidRDefault="009719BE" w:rsidP="00E66FE4">
      <w:pPr>
        <w:spacing w:after="0" w:line="240" w:lineRule="auto"/>
      </w:pPr>
      <w:r>
        <w:separator/>
      </w:r>
    </w:p>
  </w:footnote>
  <w:footnote w:type="continuationSeparator" w:id="0">
    <w:p w:rsidR="009719BE" w:rsidRDefault="009719BE" w:rsidP="00E6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B26D5"/>
    <w:multiLevelType w:val="hybridMultilevel"/>
    <w:tmpl w:val="FA2E4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3C"/>
    <w:rsid w:val="000B51F4"/>
    <w:rsid w:val="000E56E9"/>
    <w:rsid w:val="00114D96"/>
    <w:rsid w:val="0011778F"/>
    <w:rsid w:val="00162BF7"/>
    <w:rsid w:val="001A1609"/>
    <w:rsid w:val="001C2B6F"/>
    <w:rsid w:val="001C6955"/>
    <w:rsid w:val="001D13E3"/>
    <w:rsid w:val="001D3E89"/>
    <w:rsid w:val="001F5D9B"/>
    <w:rsid w:val="002127A2"/>
    <w:rsid w:val="00224DE1"/>
    <w:rsid w:val="002503CC"/>
    <w:rsid w:val="0027383A"/>
    <w:rsid w:val="00291B4E"/>
    <w:rsid w:val="002B77EA"/>
    <w:rsid w:val="002D3176"/>
    <w:rsid w:val="00301B53"/>
    <w:rsid w:val="0030454C"/>
    <w:rsid w:val="00313C08"/>
    <w:rsid w:val="0032371F"/>
    <w:rsid w:val="00364B4C"/>
    <w:rsid w:val="0038017D"/>
    <w:rsid w:val="003E34A6"/>
    <w:rsid w:val="003F3B3A"/>
    <w:rsid w:val="00407D1E"/>
    <w:rsid w:val="004121F8"/>
    <w:rsid w:val="00466ADC"/>
    <w:rsid w:val="0048300B"/>
    <w:rsid w:val="0049119E"/>
    <w:rsid w:val="004C2702"/>
    <w:rsid w:val="004F1B56"/>
    <w:rsid w:val="004F4E8B"/>
    <w:rsid w:val="0052253C"/>
    <w:rsid w:val="00526082"/>
    <w:rsid w:val="0053226A"/>
    <w:rsid w:val="00557666"/>
    <w:rsid w:val="0056121B"/>
    <w:rsid w:val="00583E38"/>
    <w:rsid w:val="005915F9"/>
    <w:rsid w:val="005F1C6C"/>
    <w:rsid w:val="00600C7E"/>
    <w:rsid w:val="00630089"/>
    <w:rsid w:val="00695FBE"/>
    <w:rsid w:val="00697494"/>
    <w:rsid w:val="006A0672"/>
    <w:rsid w:val="006A37FD"/>
    <w:rsid w:val="006A7DB3"/>
    <w:rsid w:val="006D062B"/>
    <w:rsid w:val="006E4F88"/>
    <w:rsid w:val="00721B3B"/>
    <w:rsid w:val="007262C7"/>
    <w:rsid w:val="00747721"/>
    <w:rsid w:val="007A182C"/>
    <w:rsid w:val="007A1C53"/>
    <w:rsid w:val="007A48A2"/>
    <w:rsid w:val="007A5818"/>
    <w:rsid w:val="007E2C83"/>
    <w:rsid w:val="007F687E"/>
    <w:rsid w:val="00813E3C"/>
    <w:rsid w:val="00825C25"/>
    <w:rsid w:val="00843AE6"/>
    <w:rsid w:val="00862B5A"/>
    <w:rsid w:val="008634C7"/>
    <w:rsid w:val="008929EB"/>
    <w:rsid w:val="008B6F4E"/>
    <w:rsid w:val="009026AD"/>
    <w:rsid w:val="009131F6"/>
    <w:rsid w:val="00922FCE"/>
    <w:rsid w:val="009719BE"/>
    <w:rsid w:val="009730E3"/>
    <w:rsid w:val="009925FC"/>
    <w:rsid w:val="009B0DF0"/>
    <w:rsid w:val="009C4D7C"/>
    <w:rsid w:val="00A15D3C"/>
    <w:rsid w:val="00A2042D"/>
    <w:rsid w:val="00A210BA"/>
    <w:rsid w:val="00A47241"/>
    <w:rsid w:val="00A47C8E"/>
    <w:rsid w:val="00A57305"/>
    <w:rsid w:val="00AC07C9"/>
    <w:rsid w:val="00AE301F"/>
    <w:rsid w:val="00B52F23"/>
    <w:rsid w:val="00B732E7"/>
    <w:rsid w:val="00B848B2"/>
    <w:rsid w:val="00B86F78"/>
    <w:rsid w:val="00BB3515"/>
    <w:rsid w:val="00BF0B55"/>
    <w:rsid w:val="00C029F3"/>
    <w:rsid w:val="00C04BB2"/>
    <w:rsid w:val="00C10DFE"/>
    <w:rsid w:val="00C236E9"/>
    <w:rsid w:val="00C24DFC"/>
    <w:rsid w:val="00C32679"/>
    <w:rsid w:val="00C42A24"/>
    <w:rsid w:val="00C75860"/>
    <w:rsid w:val="00C94D2C"/>
    <w:rsid w:val="00D07387"/>
    <w:rsid w:val="00D12C19"/>
    <w:rsid w:val="00D60129"/>
    <w:rsid w:val="00D853AE"/>
    <w:rsid w:val="00DE7ECA"/>
    <w:rsid w:val="00E2737E"/>
    <w:rsid w:val="00E477AF"/>
    <w:rsid w:val="00E66FE4"/>
    <w:rsid w:val="00E73DFA"/>
    <w:rsid w:val="00E92058"/>
    <w:rsid w:val="00EA38CC"/>
    <w:rsid w:val="00EE724D"/>
    <w:rsid w:val="00F045D5"/>
    <w:rsid w:val="00F13AC6"/>
    <w:rsid w:val="00F15ABE"/>
    <w:rsid w:val="00F859A0"/>
    <w:rsid w:val="00FA7689"/>
    <w:rsid w:val="00FB1708"/>
    <w:rsid w:val="00FD335F"/>
    <w:rsid w:val="00F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6C62"/>
  <w15:chartTrackingRefBased/>
  <w15:docId w15:val="{5B609DCD-E777-4279-AC03-9FA51E60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0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609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2D31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66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FE4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66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FE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rie\Desktop\TRABAJO\CGT\An&#225;lisis%20de%20coyuntura%20econ&#243;mica\Conflicto,%20accidentes,%20y%20otros\Siniestralidad%20laboral\Galicia\Siniestralidad%20Galicia%20Espa&#241;a%20Diciembre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rie\Desktop\TRABAJO\CGT\An&#225;lisis%20de%20coyuntura%20econ&#243;mica\Conflicto,%20accidentes,%20y%20otros\Siniestralidad%20laboral\Galicia\Siniestralidad%20Galicia%20Espa&#241;a%20Diciembre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rie\Desktop\TRABAJO\CGT\An&#225;lisis%20de%20coyuntura%20econ&#243;mica\Conflicto,%20accidentes,%20y%20otros\Siniestralidad%20laboral\Galicia\Siniestralidad%20Galicia%20Espa&#241;a%20Diciembre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rie\Desktop\TRABAJO\CGT\An&#225;lisis%20de%20coyuntura%20econ&#243;mica\Conflicto,%20accidentes,%20y%20otros\Siniestralidad%20laboral\Galicia\Siniestralidad%20Galicia%20Espa&#241;a%20Diciembre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rie\Desktop\TRABAJO\CGT\An&#225;lisis%20de%20coyuntura%20econ&#243;mica\Conflicto,%20accidentes,%20y%20otros\Siniestralidad%20laboral\Galicia\Siniestralidad%20Galicia%20Espa&#241;a%20Diciembre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rie\Desktop\TRABAJO\CGT\An&#225;lisis%20de%20coyuntura%20econ&#243;mica\Conflicto,%20accidentes,%20y%20otros\Siniestralidad%20laboral\Galicia\Siniestralidad%20Galicia%20Espa&#241;a%20Diciembre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rie\Desktop\TRABAJO\CGT\An&#225;lisis%20de%20coyuntura%20econ&#243;mica\Conflicto,%20accidentes,%20y%20otros\Siniestralidad%20laboral\Galicia\Siniestralidad%20Galicia%20Espa&#241;a%20Diciembre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Accidentes laborales</a:t>
            </a:r>
            <a:r>
              <a:rPr lang="es-ES" baseline="0"/>
              <a:t> con baja en el Estado español, 2018-2025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'Datos definitivos anuales'!$B$9</c:f>
              <c:strCache>
                <c:ptCount val="1"/>
                <c:pt idx="0">
                  <c:v>En jornada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definitivos anuales'!$C$8:$J$8</c:f>
              <c:strCach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 (hasta julio)</c:v>
                </c:pt>
              </c:strCache>
            </c:strRef>
          </c:cat>
          <c:val>
            <c:numRef>
              <c:f>'Datos definitivos anuales'!$C$9:$J$9</c:f>
              <c:numCache>
                <c:formatCode>#,##0</c:formatCode>
                <c:ptCount val="8"/>
                <c:pt idx="0">
                  <c:v>532977</c:v>
                </c:pt>
                <c:pt idx="1">
                  <c:v>562756</c:v>
                </c:pt>
                <c:pt idx="2">
                  <c:v>446195</c:v>
                </c:pt>
                <c:pt idx="3">
                  <c:v>523800</c:v>
                </c:pt>
                <c:pt idx="4">
                  <c:v>571274</c:v>
                </c:pt>
                <c:pt idx="5">
                  <c:v>558936</c:v>
                </c:pt>
                <c:pt idx="6">
                  <c:v>556385</c:v>
                </c:pt>
                <c:pt idx="7">
                  <c:v>306109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23-4174-8FEE-5DE643B95598}"/>
            </c:ext>
          </c:extLst>
        </c:ser>
        <c:ser>
          <c:idx val="1"/>
          <c:order val="1"/>
          <c:tx>
            <c:strRef>
              <c:f>'Datos definitivos anuales'!$B$10</c:f>
              <c:strCache>
                <c:ptCount val="1"/>
                <c:pt idx="0">
                  <c:v>In itinere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'Datos definitivos anuales'!$C$8:$J$8</c:f>
              <c:strCach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 (hasta julio)</c:v>
                </c:pt>
              </c:strCache>
            </c:strRef>
          </c:cat>
          <c:val>
            <c:numRef>
              <c:f>'Datos definitivos anuales'!$C$10:$J$10</c:f>
              <c:numCache>
                <c:formatCode>#,##0</c:formatCode>
                <c:ptCount val="8"/>
                <c:pt idx="0">
                  <c:v>84511</c:v>
                </c:pt>
                <c:pt idx="1">
                  <c:v>87846</c:v>
                </c:pt>
                <c:pt idx="2">
                  <c:v>59333</c:v>
                </c:pt>
                <c:pt idx="3">
                  <c:v>77323</c:v>
                </c:pt>
                <c:pt idx="4">
                  <c:v>82236</c:v>
                </c:pt>
                <c:pt idx="5">
                  <c:v>88559</c:v>
                </c:pt>
                <c:pt idx="6">
                  <c:v>90815</c:v>
                </c:pt>
                <c:pt idx="7">
                  <c:v>50559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23-4174-8FEE-5DE643B95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60871728"/>
        <c:axId val="1960860496"/>
      </c:barChart>
      <c:catAx>
        <c:axId val="196087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60860496"/>
        <c:crosses val="autoZero"/>
        <c:auto val="1"/>
        <c:lblAlgn val="ctr"/>
        <c:lblOffset val="100"/>
        <c:noMultiLvlLbl val="0"/>
      </c:catAx>
      <c:valAx>
        <c:axId val="196086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6087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Accidentes laborales mortales en el Estado español,</a:t>
            </a:r>
            <a:r>
              <a:rPr lang="es-ES" baseline="0"/>
              <a:t> 2018-2025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'Datos definitivos anuales'!$B$17</c:f>
              <c:strCache>
                <c:ptCount val="1"/>
                <c:pt idx="0">
                  <c:v>En jornada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definitivos anuales'!$C$16:$J$16</c:f>
              <c:strCach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 (hasta julio)</c:v>
                </c:pt>
              </c:strCache>
            </c:strRef>
          </c:cat>
          <c:val>
            <c:numRef>
              <c:f>'Datos definitivos anuales'!$C$17:$J$17</c:f>
              <c:numCache>
                <c:formatCode>General</c:formatCode>
                <c:ptCount val="8"/>
                <c:pt idx="0">
                  <c:v>574</c:v>
                </c:pt>
                <c:pt idx="1">
                  <c:v>561</c:v>
                </c:pt>
                <c:pt idx="2" formatCode="#,##0">
                  <c:v>637</c:v>
                </c:pt>
                <c:pt idx="3" formatCode="#,##0">
                  <c:v>612</c:v>
                </c:pt>
                <c:pt idx="4" formatCode="#,##0">
                  <c:v>716</c:v>
                </c:pt>
                <c:pt idx="5" formatCode="#,##0">
                  <c:v>616</c:v>
                </c:pt>
                <c:pt idx="6" formatCode="#,##0">
                  <c:v>677</c:v>
                </c:pt>
                <c:pt idx="7" formatCode="#,##0">
                  <c:v>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EC-47C0-B9F6-4F8332C190E1}"/>
            </c:ext>
          </c:extLst>
        </c:ser>
        <c:ser>
          <c:idx val="1"/>
          <c:order val="1"/>
          <c:tx>
            <c:strRef>
              <c:f>'Datos definitivos anuales'!$B$18</c:f>
              <c:strCache>
                <c:ptCount val="1"/>
                <c:pt idx="0">
                  <c:v>In itinere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'Datos definitivos anuales'!$C$16:$J$16</c:f>
              <c:strCach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 (hasta julio)</c:v>
                </c:pt>
              </c:strCache>
            </c:strRef>
          </c:cat>
          <c:val>
            <c:numRef>
              <c:f>'Datos definitivos anuales'!$C$18:$J$18</c:f>
              <c:numCache>
                <c:formatCode>General</c:formatCode>
                <c:ptCount val="8"/>
                <c:pt idx="0">
                  <c:v>155</c:v>
                </c:pt>
                <c:pt idx="1">
                  <c:v>160</c:v>
                </c:pt>
                <c:pt idx="2" formatCode="#,##0">
                  <c:v>118</c:v>
                </c:pt>
                <c:pt idx="3" formatCode="#,##0">
                  <c:v>130</c:v>
                </c:pt>
                <c:pt idx="4" formatCode="#,##0">
                  <c:v>154</c:v>
                </c:pt>
                <c:pt idx="5" formatCode="#,##0">
                  <c:v>146</c:v>
                </c:pt>
                <c:pt idx="6" formatCode="#,##0">
                  <c:v>153</c:v>
                </c:pt>
                <c:pt idx="7" formatCode="#,##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EC-47C0-B9F6-4F8332C190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38616368"/>
        <c:axId val="1738616784"/>
      </c:barChart>
      <c:catAx>
        <c:axId val="173861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38616784"/>
        <c:crosses val="autoZero"/>
        <c:auto val="1"/>
        <c:lblAlgn val="ctr"/>
        <c:lblOffset val="100"/>
        <c:noMultiLvlLbl val="0"/>
      </c:catAx>
      <c:valAx>
        <c:axId val="173861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3861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800" b="0" i="0" baseline="0">
                <a:effectLst/>
              </a:rPr>
              <a:t>Forma en que se produjo la lesión, accidentes laborales totales con baja entre enero y julio de 2025</a:t>
            </a:r>
            <a:endParaRPr lang="es-E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52-4878-B318-1DB1792408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52-4878-B318-1DB1792408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52-4878-B318-1DB1792408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52-4878-B318-1DB1792408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52-4878-B318-1DB1792408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652-4878-B318-1DB1792408F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Causas!$E$13:$E$18</c:f>
              <c:strCache>
                <c:ptCount val="6"/>
                <c:pt idx="0">
                  <c:v>Sobreesfuerzo  físico - sobre el sistema musculoesquelético</c:v>
                </c:pt>
                <c:pt idx="1">
                  <c:v>Golpe contra un objeto inmóvil, trabajador en movimiento </c:v>
                </c:pt>
                <c:pt idx="2">
                  <c:v>Choque o golpe contra un objeto en movimiento, colisión con</c:v>
                </c:pt>
                <c:pt idx="3">
                  <c:v>Contacto con agente material, cortante, punzante, duro</c:v>
                </c:pt>
                <c:pt idx="4">
                  <c:v>Accidentes de tráfico</c:v>
                </c:pt>
                <c:pt idx="5">
                  <c:v>Otras causas</c:v>
                </c:pt>
              </c:strCache>
            </c:strRef>
          </c:cat>
          <c:val>
            <c:numRef>
              <c:f>Causas!$H$13:$H$18</c:f>
              <c:numCache>
                <c:formatCode>#,##0</c:formatCode>
                <c:ptCount val="6"/>
                <c:pt idx="0">
                  <c:v>86692</c:v>
                </c:pt>
                <c:pt idx="1">
                  <c:v>98393</c:v>
                </c:pt>
                <c:pt idx="2">
                  <c:v>58843</c:v>
                </c:pt>
                <c:pt idx="3">
                  <c:v>34515</c:v>
                </c:pt>
                <c:pt idx="4">
                  <c:v>41630</c:v>
                </c:pt>
                <c:pt idx="5">
                  <c:v>36595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652-4878-B318-1DB1792408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800" b="0" i="0" baseline="0">
                <a:effectLst/>
              </a:rPr>
              <a:t>Variación de los accidentes laborales en jornada de trabajo, por sectores, enero-julio 2024-2025</a:t>
            </a:r>
            <a:endParaRPr lang="es-E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8C9-4317-BA6E-7ABBC20E8B98}"/>
              </c:ext>
            </c:extLst>
          </c:dPt>
          <c:cat>
            <c:strRef>
              <c:f>Sectores!$D$10:$D$21</c:f>
              <c:strCache>
                <c:ptCount val="12"/>
                <c:pt idx="0">
                  <c:v>Total</c:v>
                </c:pt>
                <c:pt idx="1">
                  <c:v>A - Agricultura, ganadería, silvicultura y pesca</c:v>
                </c:pt>
                <c:pt idx="2">
                  <c:v>B - Industrias extractivas</c:v>
                </c:pt>
                <c:pt idx="3">
                  <c:v>C - Industria manufacturera</c:v>
                </c:pt>
                <c:pt idx="4">
                  <c:v>E - Suministro de agua, saneamiento, gestión residuos</c:v>
                </c:pt>
                <c:pt idx="5">
                  <c:v>F - Construcción</c:v>
                </c:pt>
                <c:pt idx="6">
                  <c:v>G - Comercio al por mayor y menor; reparación de vehículos a motor</c:v>
                </c:pt>
                <c:pt idx="7">
                  <c:v>H - Transporte y almacenamiento</c:v>
                </c:pt>
                <c:pt idx="8">
                  <c:v>I - Hostelería</c:v>
                </c:pt>
                <c:pt idx="9">
                  <c:v>N - Actividades administrativas y servicios auxiliares</c:v>
                </c:pt>
                <c:pt idx="10">
                  <c:v>O - Administración Pública y defensa; Seguridad social obligatoria</c:v>
                </c:pt>
                <c:pt idx="11">
                  <c:v>Q - Actividades sanitarias y de servicios sociales</c:v>
                </c:pt>
              </c:strCache>
            </c:strRef>
          </c:cat>
          <c:val>
            <c:numRef>
              <c:f>Sectores!$H$10:$H$21</c:f>
              <c:numCache>
                <c:formatCode>0.0</c:formatCode>
                <c:ptCount val="12"/>
                <c:pt idx="0">
                  <c:v>-4.4663782680580013</c:v>
                </c:pt>
                <c:pt idx="1">
                  <c:v>-6.9398511773254778</c:v>
                </c:pt>
                <c:pt idx="2">
                  <c:v>-7.6919314378041372</c:v>
                </c:pt>
                <c:pt idx="3">
                  <c:v>-2.6842319732057707</c:v>
                </c:pt>
                <c:pt idx="4">
                  <c:v>-5.2243001082771725</c:v>
                </c:pt>
                <c:pt idx="5">
                  <c:v>-5.9264922878430442</c:v>
                </c:pt>
                <c:pt idx="6">
                  <c:v>-4.3265585545098659</c:v>
                </c:pt>
                <c:pt idx="7">
                  <c:v>-5.4554142241307186</c:v>
                </c:pt>
                <c:pt idx="8">
                  <c:v>-8.4227694137992781</c:v>
                </c:pt>
                <c:pt idx="9">
                  <c:v>-0.12209551740312144</c:v>
                </c:pt>
                <c:pt idx="10">
                  <c:v>-7.0530933032049861</c:v>
                </c:pt>
                <c:pt idx="11">
                  <c:v>-3.7735189726095917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C9-4317-BA6E-7ABBC20E8B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0861328"/>
        <c:axId val="1960851760"/>
      </c:barChart>
      <c:catAx>
        <c:axId val="196086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31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60851760"/>
        <c:crosses val="autoZero"/>
        <c:auto val="1"/>
        <c:lblAlgn val="ctr"/>
        <c:lblOffset val="100"/>
        <c:noMultiLvlLbl val="0"/>
      </c:catAx>
      <c:valAx>
        <c:axId val="196085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60861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Índice de incidencia de accidentes en jornada por Comunidad Autónoma, enero-julio de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D89-49F2-B28F-325138E439DE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D89-49F2-B28F-325138E439DE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D89-49F2-B28F-325138E439DE}"/>
              </c:ext>
            </c:extLst>
          </c:dPt>
          <c:cat>
            <c:strRef>
              <c:f>'Indices por comunidades'!$E$10:$E$26</c:f>
              <c:strCache>
                <c:ptCount val="17"/>
                <c:pt idx="0">
                  <c:v>Baleares</c:v>
                </c:pt>
                <c:pt idx="1">
                  <c:v>Navarra</c:v>
                </c:pt>
                <c:pt idx="2">
                  <c:v>Castilla-La Mancha</c:v>
                </c:pt>
                <c:pt idx="3">
                  <c:v>La Rioja</c:v>
                </c:pt>
                <c:pt idx="4">
                  <c:v>Murcia</c:v>
                </c:pt>
                <c:pt idx="5">
                  <c:v>Aragón</c:v>
                </c:pt>
                <c:pt idx="6">
                  <c:v>Extremadura</c:v>
                </c:pt>
                <c:pt idx="7">
                  <c:v>Asturias</c:v>
                </c:pt>
                <c:pt idx="8">
                  <c:v>Castilla y León</c:v>
                </c:pt>
                <c:pt idx="9">
                  <c:v>Andalucía</c:v>
                </c:pt>
                <c:pt idx="10">
                  <c:v>Cantabria</c:v>
                </c:pt>
                <c:pt idx="11">
                  <c:v>Canarias</c:v>
                </c:pt>
                <c:pt idx="12">
                  <c:v>País Vasco</c:v>
                </c:pt>
                <c:pt idx="13">
                  <c:v>Comunidad Valenciana</c:v>
                </c:pt>
                <c:pt idx="14">
                  <c:v>Ceuta</c:v>
                </c:pt>
                <c:pt idx="15">
                  <c:v>Galicia</c:v>
                </c:pt>
                <c:pt idx="16">
                  <c:v>Cataluña</c:v>
                </c:pt>
              </c:strCache>
            </c:strRef>
          </c:cat>
          <c:val>
            <c:numRef>
              <c:f>'Indices por comunidades'!$L$10:$L$26</c:f>
              <c:numCache>
                <c:formatCode>#,##0.0;\-#,##0.0;\-</c:formatCode>
                <c:ptCount val="17"/>
                <c:pt idx="0">
                  <c:v>313.47814703233524</c:v>
                </c:pt>
                <c:pt idx="1">
                  <c:v>296.09449532786277</c:v>
                </c:pt>
                <c:pt idx="2">
                  <c:v>268.91536472834144</c:v>
                </c:pt>
                <c:pt idx="3">
                  <c:v>266.94839904183101</c:v>
                </c:pt>
                <c:pt idx="4">
                  <c:v>238.95968359815654</c:v>
                </c:pt>
                <c:pt idx="5">
                  <c:v>234.74095765182119</c:v>
                </c:pt>
                <c:pt idx="6">
                  <c:v>233.71821388788086</c:v>
                </c:pt>
                <c:pt idx="7">
                  <c:v>232.0182116985122</c:v>
                </c:pt>
                <c:pt idx="8">
                  <c:v>230.92150986411806</c:v>
                </c:pt>
                <c:pt idx="9">
                  <c:v>226.63756374709334</c:v>
                </c:pt>
                <c:pt idx="10">
                  <c:v>216.5178822624367</c:v>
                </c:pt>
                <c:pt idx="11">
                  <c:v>214.82989816371034</c:v>
                </c:pt>
                <c:pt idx="12">
                  <c:v>214.08381565050962</c:v>
                </c:pt>
                <c:pt idx="13">
                  <c:v>211.55147704313694</c:v>
                </c:pt>
                <c:pt idx="14">
                  <c:v>203.51560805915796</c:v>
                </c:pt>
                <c:pt idx="15">
                  <c:v>200.84046372214715</c:v>
                </c:pt>
                <c:pt idx="16">
                  <c:v>192.72373498900131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89-49F2-B28F-325138E43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3592720"/>
        <c:axId val="1743589392"/>
      </c:barChart>
      <c:catAx>
        <c:axId val="174359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43589392"/>
        <c:crosses val="autoZero"/>
        <c:auto val="1"/>
        <c:lblAlgn val="ctr"/>
        <c:lblOffset val="100"/>
        <c:noMultiLvlLbl val="0"/>
      </c:catAx>
      <c:valAx>
        <c:axId val="174358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;\-#,##0.0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4359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400" b="0" i="0" baseline="0">
                <a:effectLst/>
              </a:rPr>
              <a:t>Índice de incidencia de accidentes en jornada en las provincias de Galicia, enero-julio 2025</a:t>
            </a:r>
            <a:endParaRPr lang="es-E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789-45C2-8801-47E4CBD4639A}"/>
              </c:ext>
            </c:extLst>
          </c:dPt>
          <c:cat>
            <c:strRef>
              <c:f>'Indices por provincias'!$C$10:$C$14</c:f>
              <c:strCache>
                <c:ptCount val="5"/>
                <c:pt idx="0">
                  <c:v>Ourense </c:v>
                </c:pt>
                <c:pt idx="1">
                  <c:v>A Coruña</c:v>
                </c:pt>
                <c:pt idx="2">
                  <c:v>Media Galicia</c:v>
                </c:pt>
                <c:pt idx="3">
                  <c:v>Lugo </c:v>
                </c:pt>
                <c:pt idx="4">
                  <c:v>Pontevedra </c:v>
                </c:pt>
              </c:strCache>
            </c:strRef>
          </c:cat>
          <c:val>
            <c:numRef>
              <c:f>'Indices por provincias'!$J$10:$J$14</c:f>
              <c:numCache>
                <c:formatCode>#,##0.0;\-#,##0.0;\-</c:formatCode>
                <c:ptCount val="5"/>
                <c:pt idx="0">
                  <c:v>227.82956548460032</c:v>
                </c:pt>
                <c:pt idx="1">
                  <c:v>206.53482850038836</c:v>
                </c:pt>
                <c:pt idx="2">
                  <c:v>200.84046372214715</c:v>
                </c:pt>
                <c:pt idx="3">
                  <c:v>191.12096549866604</c:v>
                </c:pt>
                <c:pt idx="4">
                  <c:v>189.25768586549282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89-45C2-8801-47E4CBD463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3589808"/>
        <c:axId val="1743602288"/>
      </c:barChart>
      <c:catAx>
        <c:axId val="174358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43602288"/>
        <c:crosses val="autoZero"/>
        <c:auto val="1"/>
        <c:lblAlgn val="ctr"/>
        <c:lblOffset val="100"/>
        <c:noMultiLvlLbl val="0"/>
      </c:catAx>
      <c:valAx>
        <c:axId val="174360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;\-#,##0.0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43589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600" b="0" i="0" baseline="0">
                <a:effectLst/>
              </a:rPr>
              <a:t>Accidentes laborales totales y mortales en Galicia, 2004-2024</a:t>
            </a:r>
            <a:endParaRPr lang="es-E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Accidentes mortales (der.)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'Evo accidentes Histórica'!$J$13:$J$33</c:f>
              <c:numCache>
                <c:formatCode>General</c:formatCode>
                <c:ptCount val="21"/>
                <c:pt idx="0">
                  <c:v>111</c:v>
                </c:pt>
                <c:pt idx="1">
                  <c:v>115</c:v>
                </c:pt>
                <c:pt idx="2">
                  <c:v>98</c:v>
                </c:pt>
                <c:pt idx="3">
                  <c:v>85</c:v>
                </c:pt>
                <c:pt idx="4">
                  <c:v>101</c:v>
                </c:pt>
                <c:pt idx="5">
                  <c:v>85</c:v>
                </c:pt>
                <c:pt idx="6">
                  <c:v>84</c:v>
                </c:pt>
                <c:pt idx="7">
                  <c:v>60</c:v>
                </c:pt>
                <c:pt idx="8">
                  <c:v>52</c:v>
                </c:pt>
                <c:pt idx="9">
                  <c:v>48</c:v>
                </c:pt>
                <c:pt idx="10">
                  <c:v>67</c:v>
                </c:pt>
                <c:pt idx="11">
                  <c:v>64</c:v>
                </c:pt>
                <c:pt idx="12">
                  <c:v>70</c:v>
                </c:pt>
                <c:pt idx="13">
                  <c:v>53</c:v>
                </c:pt>
                <c:pt idx="14">
                  <c:v>61</c:v>
                </c:pt>
                <c:pt idx="15">
                  <c:v>66</c:v>
                </c:pt>
                <c:pt idx="16">
                  <c:v>61</c:v>
                </c:pt>
                <c:pt idx="17">
                  <c:v>54</c:v>
                </c:pt>
                <c:pt idx="18">
                  <c:v>76</c:v>
                </c:pt>
                <c:pt idx="19">
                  <c:v>63</c:v>
                </c:pt>
                <c:pt idx="2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F-49DD-AE13-A23D9CE8E8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71519600"/>
        <c:axId val="1371519184"/>
      </c:barChart>
      <c:lineChart>
        <c:grouping val="standard"/>
        <c:varyColors val="0"/>
        <c:ser>
          <c:idx val="0"/>
          <c:order val="0"/>
          <c:tx>
            <c:v>Accidentes totales (izq.)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'Evo accidentes Histórica'!$D$13:$D$33</c:f>
              <c:numCache>
                <c:formatCode>General</c:formatCode>
                <c:ptCount val="2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  <c:pt idx="17">
                  <c:v>2021</c:v>
                </c:pt>
                <c:pt idx="18">
                  <c:v>2022</c:v>
                </c:pt>
                <c:pt idx="19">
                  <c:v>2023</c:v>
                </c:pt>
                <c:pt idx="20">
                  <c:v>2024</c:v>
                </c:pt>
              </c:numCache>
            </c:numRef>
          </c:cat>
          <c:val>
            <c:numRef>
              <c:f>'Evo accidentes Histórica'!$G$13:$G$33</c:f>
              <c:numCache>
                <c:formatCode>General</c:formatCode>
                <c:ptCount val="21"/>
                <c:pt idx="0">
                  <c:v>49330</c:v>
                </c:pt>
                <c:pt idx="1">
                  <c:v>50343</c:v>
                </c:pt>
                <c:pt idx="2">
                  <c:v>52552</c:v>
                </c:pt>
                <c:pt idx="3">
                  <c:v>55709</c:v>
                </c:pt>
                <c:pt idx="4">
                  <c:v>53731</c:v>
                </c:pt>
                <c:pt idx="5">
                  <c:v>43345</c:v>
                </c:pt>
                <c:pt idx="6">
                  <c:v>39456</c:v>
                </c:pt>
                <c:pt idx="7">
                  <c:v>33713</c:v>
                </c:pt>
                <c:pt idx="8">
                  <c:v>26292</c:v>
                </c:pt>
                <c:pt idx="9">
                  <c:v>25076</c:v>
                </c:pt>
                <c:pt idx="10">
                  <c:v>26101</c:v>
                </c:pt>
                <c:pt idx="11">
                  <c:v>27899</c:v>
                </c:pt>
                <c:pt idx="12">
                  <c:v>28716</c:v>
                </c:pt>
                <c:pt idx="13">
                  <c:v>32387</c:v>
                </c:pt>
                <c:pt idx="14">
                  <c:v>32181</c:v>
                </c:pt>
                <c:pt idx="15">
                  <c:v>35033</c:v>
                </c:pt>
                <c:pt idx="16">
                  <c:v>27565</c:v>
                </c:pt>
                <c:pt idx="17">
                  <c:v>32055</c:v>
                </c:pt>
                <c:pt idx="18">
                  <c:v>31193</c:v>
                </c:pt>
                <c:pt idx="19">
                  <c:v>32695</c:v>
                </c:pt>
                <c:pt idx="20">
                  <c:v>32349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7F-49DD-AE13-A23D9CE8E8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1511280"/>
        <c:axId val="1371512112"/>
      </c:lineChart>
      <c:catAx>
        <c:axId val="137151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71512112"/>
        <c:crosses val="autoZero"/>
        <c:auto val="1"/>
        <c:lblAlgn val="ctr"/>
        <c:lblOffset val="100"/>
        <c:noMultiLvlLbl val="0"/>
      </c:catAx>
      <c:valAx>
        <c:axId val="1371512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71511280"/>
        <c:crosses val="autoZero"/>
        <c:crossBetween val="between"/>
      </c:valAx>
      <c:valAx>
        <c:axId val="137151918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71519600"/>
        <c:crosses val="max"/>
        <c:crossBetween val="between"/>
      </c:valAx>
      <c:catAx>
        <c:axId val="1371519600"/>
        <c:scaling>
          <c:orientation val="minMax"/>
        </c:scaling>
        <c:delete val="1"/>
        <c:axPos val="b"/>
        <c:majorTickMark val="out"/>
        <c:minorTickMark val="none"/>
        <c:tickLblPos val="nextTo"/>
        <c:crossAx val="13715191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1528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Lorién Cirera</dc:creator>
  <cp:keywords/>
  <dc:description/>
  <cp:lastModifiedBy>Lorién Cirera</cp:lastModifiedBy>
  <cp:revision>18</cp:revision>
  <dcterms:created xsi:type="dcterms:W3CDTF">2025-09-15T09:13:00Z</dcterms:created>
  <dcterms:modified xsi:type="dcterms:W3CDTF">2025-09-17T08:48:00Z</dcterms:modified>
</cp:coreProperties>
</file>